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2F29A2" w:rsidRPr="002F29A2" w:rsidRDefault="002F29A2" w:rsidP="002F29A2">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2F29A2">
        <w:rPr>
          <w:rFonts w:ascii="Times New Roman" w:eastAsia="Times New Roman" w:hAnsi="Times New Roman" w:cs="Times New Roman"/>
          <w:b/>
          <w:bCs/>
          <w:kern w:val="36"/>
          <w:sz w:val="48"/>
          <w:szCs w:val="48"/>
        </w:rPr>
        <w:t>Thallium diagenesis in lacustrine sediments</w:t>
      </w:r>
    </w:p>
    <w:p w:rsidR="002F29A2" w:rsidRPr="002F29A2" w:rsidRDefault="002F29A2" w:rsidP="002F29A2">
      <w:pPr>
        <w:spacing w:after="0" w:line="240" w:lineRule="auto"/>
        <w:rPr>
          <w:rFonts w:ascii="Times New Roman" w:eastAsia="Times New Roman" w:hAnsi="Times New Roman" w:cs="Times New Roman"/>
          <w:sz w:val="24"/>
          <w:szCs w:val="24"/>
        </w:rPr>
      </w:pPr>
      <w:r w:rsidRPr="002F29A2">
        <w:rPr>
          <w:rFonts w:ascii="Times New Roman" w:eastAsia="Times New Roman" w:hAnsi="Times New Roman" w:cs="Times New Roman"/>
          <w:sz w:val="24"/>
          <w:szCs w:val="24"/>
        </w:rPr>
        <w:t>Author links open overlay panel</w:t>
      </w:r>
    </w:p>
    <w:p w:rsidR="002F29A2" w:rsidRPr="002F29A2" w:rsidRDefault="002F29A2" w:rsidP="002F29A2">
      <w:pPr>
        <w:spacing w:after="0" w:line="240" w:lineRule="auto"/>
        <w:rPr>
          <w:rFonts w:ascii="Times New Roman" w:eastAsia="Times New Roman" w:hAnsi="Times New Roman" w:cs="Times New Roman"/>
          <w:sz w:val="24"/>
          <w:szCs w:val="24"/>
        </w:rPr>
      </w:pPr>
      <w:r w:rsidRPr="002F29A2">
        <w:rPr>
          <w:rFonts w:ascii="Times New Roman" w:eastAsia="Times New Roman" w:hAnsi="Times New Roman" w:cs="Times New Roman"/>
          <w:sz w:val="24"/>
          <w:szCs w:val="24"/>
        </w:rPr>
        <w:t xml:space="preserve">, , , </w:t>
      </w:r>
    </w:p>
    <w:p w:rsidR="002F29A2" w:rsidRPr="002F29A2" w:rsidRDefault="002F29A2" w:rsidP="002F29A2">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2F29A2">
          <w:rPr>
            <w:rFonts w:ascii="Times New Roman" w:eastAsia="Times New Roman" w:hAnsi="Times New Roman" w:cs="Times New Roman"/>
            <w:color w:val="0000FF"/>
            <w:sz w:val="24"/>
            <w:szCs w:val="24"/>
            <w:u w:val="single"/>
          </w:rPr>
          <w:t>https://doi.org/10.1016/j.gca.2005.06.006</w:t>
        </w:r>
      </w:hyperlink>
      <w:bookmarkStart w:id="0" w:name="_GoBack"/>
      <w:bookmarkEnd w:id="0"/>
      <w:r w:rsidRPr="002F29A2">
        <w:rPr>
          <w:rFonts w:ascii="Times New Roman" w:eastAsia="Times New Roman" w:hAnsi="Times New Roman" w:cs="Times New Roman"/>
          <w:sz w:val="24"/>
          <w:szCs w:val="24"/>
        </w:rPr>
        <w:t xml:space="preserve"> </w:t>
      </w:r>
    </w:p>
    <w:p w:rsidR="002F29A2" w:rsidRPr="002F29A2" w:rsidRDefault="002F29A2" w:rsidP="002F29A2">
      <w:pPr>
        <w:spacing w:before="100" w:beforeAutospacing="1" w:after="100" w:afterAutospacing="1" w:line="240" w:lineRule="auto"/>
        <w:outlineLvl w:val="1"/>
        <w:rPr>
          <w:rFonts w:ascii="Times New Roman" w:eastAsia="Times New Roman" w:hAnsi="Times New Roman" w:cs="Times New Roman"/>
          <w:b/>
          <w:bCs/>
          <w:sz w:val="36"/>
          <w:szCs w:val="36"/>
        </w:rPr>
      </w:pPr>
      <w:r w:rsidRPr="002F29A2">
        <w:rPr>
          <w:rFonts w:ascii="Times New Roman" w:eastAsia="Times New Roman" w:hAnsi="Times New Roman" w:cs="Times New Roman"/>
          <w:b/>
          <w:bCs/>
          <w:sz w:val="36"/>
          <w:szCs w:val="36"/>
        </w:rPr>
        <w:t>Abstract</w:t>
      </w:r>
    </w:p>
    <w:p w:rsidR="002F29A2" w:rsidRPr="002F29A2" w:rsidRDefault="002F29A2" w:rsidP="002F29A2">
      <w:pPr>
        <w:spacing w:before="100" w:beforeAutospacing="1" w:after="100" w:afterAutospacing="1" w:line="240" w:lineRule="auto"/>
        <w:rPr>
          <w:rFonts w:ascii="Times New Roman" w:eastAsia="Times New Roman" w:hAnsi="Times New Roman" w:cs="Times New Roman"/>
          <w:sz w:val="24"/>
          <w:szCs w:val="24"/>
        </w:rPr>
      </w:pPr>
      <w:r w:rsidRPr="002F29A2">
        <w:rPr>
          <w:rFonts w:ascii="Times New Roman" w:eastAsia="Times New Roman" w:hAnsi="Times New Roman" w:cs="Times New Roman"/>
          <w:sz w:val="24"/>
          <w:szCs w:val="24"/>
        </w:rPr>
        <w:t xml:space="preserve">Dated </w:t>
      </w:r>
      <w:hyperlink r:id="rId5" w:tooltip="Learn more about sediment cores from ScienceDirect's AI-generated Topic Pages" w:history="1">
        <w:r w:rsidRPr="002F29A2">
          <w:rPr>
            <w:rFonts w:ascii="Times New Roman" w:eastAsia="Times New Roman" w:hAnsi="Times New Roman" w:cs="Times New Roman"/>
            <w:color w:val="0000FF"/>
            <w:sz w:val="24"/>
            <w:szCs w:val="24"/>
            <w:u w:val="single"/>
          </w:rPr>
          <w:t>sediment cores</w:t>
        </w:r>
      </w:hyperlink>
      <w:r w:rsidRPr="002F29A2">
        <w:rPr>
          <w:rFonts w:ascii="Times New Roman" w:eastAsia="Times New Roman" w:hAnsi="Times New Roman" w:cs="Times New Roman"/>
          <w:sz w:val="24"/>
          <w:szCs w:val="24"/>
        </w:rPr>
        <w:t xml:space="preserve"> and </w:t>
      </w:r>
      <w:hyperlink r:id="rId6" w:tooltip="Learn more about porewaters from ScienceDirect's AI-generated Topic Pages" w:history="1">
        <w:r w:rsidRPr="002F29A2">
          <w:rPr>
            <w:rFonts w:ascii="Times New Roman" w:eastAsia="Times New Roman" w:hAnsi="Times New Roman" w:cs="Times New Roman"/>
            <w:color w:val="0000FF"/>
            <w:sz w:val="24"/>
            <w:szCs w:val="24"/>
            <w:u w:val="single"/>
          </w:rPr>
          <w:t>porewaters</w:t>
        </w:r>
      </w:hyperlink>
      <w:r w:rsidRPr="002F29A2">
        <w:rPr>
          <w:rFonts w:ascii="Times New Roman" w:eastAsia="Times New Roman" w:hAnsi="Times New Roman" w:cs="Times New Roman"/>
          <w:sz w:val="24"/>
          <w:szCs w:val="24"/>
        </w:rPr>
        <w:t xml:space="preserve"> from two Canadian Shield lakes, located 40 km from Québec City (L. </w:t>
      </w:r>
      <w:proofErr w:type="spellStart"/>
      <w:r w:rsidRPr="002F29A2">
        <w:rPr>
          <w:rFonts w:ascii="Times New Roman" w:eastAsia="Times New Roman" w:hAnsi="Times New Roman" w:cs="Times New Roman"/>
          <w:sz w:val="24"/>
          <w:szCs w:val="24"/>
        </w:rPr>
        <w:t>Tantaré</w:t>
      </w:r>
      <w:proofErr w:type="spellEnd"/>
      <w:r w:rsidRPr="002F29A2">
        <w:rPr>
          <w:rFonts w:ascii="Times New Roman" w:eastAsia="Times New Roman" w:hAnsi="Times New Roman" w:cs="Times New Roman"/>
          <w:sz w:val="24"/>
          <w:szCs w:val="24"/>
        </w:rPr>
        <w:t xml:space="preserve">) and 25 km downwind from an important smelter in northwestern Québec (L. </w:t>
      </w:r>
      <w:proofErr w:type="spellStart"/>
      <w:r w:rsidRPr="002F29A2">
        <w:rPr>
          <w:rFonts w:ascii="Times New Roman" w:eastAsia="Times New Roman" w:hAnsi="Times New Roman" w:cs="Times New Roman"/>
          <w:sz w:val="24"/>
          <w:szCs w:val="24"/>
        </w:rPr>
        <w:t>Vose</w:t>
      </w:r>
      <w:proofErr w:type="spellEnd"/>
      <w:r w:rsidRPr="002F29A2">
        <w:rPr>
          <w:rFonts w:ascii="Times New Roman" w:eastAsia="Times New Roman" w:hAnsi="Times New Roman" w:cs="Times New Roman"/>
          <w:sz w:val="24"/>
          <w:szCs w:val="24"/>
        </w:rPr>
        <w:t xml:space="preserve">), were analyzed for thallium and other geochemical variables. </w:t>
      </w:r>
      <w:hyperlink r:id="rId7" w:tooltip="Learn more about Atmospheric deposition from ScienceDirect's AI-generated Topic Pages" w:history="1">
        <w:r w:rsidRPr="002F29A2">
          <w:rPr>
            <w:rFonts w:ascii="Times New Roman" w:eastAsia="Times New Roman" w:hAnsi="Times New Roman" w:cs="Times New Roman"/>
            <w:color w:val="0000FF"/>
            <w:sz w:val="24"/>
            <w:szCs w:val="24"/>
            <w:u w:val="single"/>
          </w:rPr>
          <w:t>Atmospheric deposition</w:t>
        </w:r>
      </w:hyperlink>
      <w:r w:rsidRPr="002F29A2">
        <w:rPr>
          <w:rFonts w:ascii="Times New Roman" w:eastAsia="Times New Roman" w:hAnsi="Times New Roman" w:cs="Times New Roman"/>
          <w:sz w:val="24"/>
          <w:szCs w:val="24"/>
        </w:rPr>
        <w:t xml:space="preserve"> is the only source of anthropogenic Tl to these lakes. The porewater Tl concentration profiles in L. </w:t>
      </w:r>
      <w:proofErr w:type="spellStart"/>
      <w:r w:rsidRPr="002F29A2">
        <w:rPr>
          <w:rFonts w:ascii="Times New Roman" w:eastAsia="Times New Roman" w:hAnsi="Times New Roman" w:cs="Times New Roman"/>
          <w:sz w:val="24"/>
          <w:szCs w:val="24"/>
        </w:rPr>
        <w:t>Tantaré</w:t>
      </w:r>
      <w:proofErr w:type="spellEnd"/>
      <w:r w:rsidRPr="002F29A2">
        <w:rPr>
          <w:rFonts w:ascii="Times New Roman" w:eastAsia="Times New Roman" w:hAnsi="Times New Roman" w:cs="Times New Roman"/>
          <w:sz w:val="24"/>
          <w:szCs w:val="24"/>
        </w:rPr>
        <w:t xml:space="preserve"> display a peak below the sediment-water interface that suggests post-depositional Tl </w:t>
      </w:r>
      <w:hyperlink r:id="rId8" w:tooltip="Learn more about remobilization from ScienceDirect's AI-generated Topic Pages" w:history="1">
        <w:r w:rsidRPr="002F29A2">
          <w:rPr>
            <w:rFonts w:ascii="Times New Roman" w:eastAsia="Times New Roman" w:hAnsi="Times New Roman" w:cs="Times New Roman"/>
            <w:color w:val="0000FF"/>
            <w:sz w:val="24"/>
            <w:szCs w:val="24"/>
            <w:u w:val="single"/>
          </w:rPr>
          <w:t>remobilization</w:t>
        </w:r>
      </w:hyperlink>
      <w:r w:rsidRPr="002F29A2">
        <w:rPr>
          <w:rFonts w:ascii="Times New Roman" w:eastAsia="Times New Roman" w:hAnsi="Times New Roman" w:cs="Times New Roman"/>
          <w:sz w:val="24"/>
          <w:szCs w:val="24"/>
        </w:rPr>
        <w:t xml:space="preserve"> and transport to the overlying water and deeper sediments; such a dissolved Tl peak occurs just above the sediment-water interface in L. </w:t>
      </w:r>
      <w:proofErr w:type="spellStart"/>
      <w:r w:rsidRPr="002F29A2">
        <w:rPr>
          <w:rFonts w:ascii="Times New Roman" w:eastAsia="Times New Roman" w:hAnsi="Times New Roman" w:cs="Times New Roman"/>
          <w:sz w:val="24"/>
          <w:szCs w:val="24"/>
        </w:rPr>
        <w:t>Vose</w:t>
      </w:r>
      <w:proofErr w:type="spellEnd"/>
      <w:r w:rsidRPr="002F29A2">
        <w:rPr>
          <w:rFonts w:ascii="Times New Roman" w:eastAsia="Times New Roman" w:hAnsi="Times New Roman" w:cs="Times New Roman"/>
          <w:sz w:val="24"/>
          <w:szCs w:val="24"/>
        </w:rPr>
        <w:t xml:space="preserve">. Modeling the porewater Tl profiles with a diagenetic reaction-transport equation reveals a zone of dissolved Tl production lying above a zone of Tl consumption in L. </w:t>
      </w:r>
      <w:proofErr w:type="spellStart"/>
      <w:r w:rsidRPr="002F29A2">
        <w:rPr>
          <w:rFonts w:ascii="Times New Roman" w:eastAsia="Times New Roman" w:hAnsi="Times New Roman" w:cs="Times New Roman"/>
          <w:sz w:val="24"/>
          <w:szCs w:val="24"/>
        </w:rPr>
        <w:t>Tantaré</w:t>
      </w:r>
      <w:proofErr w:type="spellEnd"/>
      <w:r w:rsidRPr="002F29A2">
        <w:rPr>
          <w:rFonts w:ascii="Times New Roman" w:eastAsia="Times New Roman" w:hAnsi="Times New Roman" w:cs="Times New Roman"/>
          <w:sz w:val="24"/>
          <w:szCs w:val="24"/>
        </w:rPr>
        <w:t xml:space="preserve"> sediments. In contrast, in L. </w:t>
      </w:r>
      <w:proofErr w:type="spellStart"/>
      <w:r w:rsidRPr="002F29A2">
        <w:rPr>
          <w:rFonts w:ascii="Times New Roman" w:eastAsia="Times New Roman" w:hAnsi="Times New Roman" w:cs="Times New Roman"/>
          <w:sz w:val="24"/>
          <w:szCs w:val="24"/>
        </w:rPr>
        <w:t>Vose</w:t>
      </w:r>
      <w:proofErr w:type="spellEnd"/>
      <w:r w:rsidRPr="002F29A2">
        <w:rPr>
          <w:rFonts w:ascii="Times New Roman" w:eastAsia="Times New Roman" w:hAnsi="Times New Roman" w:cs="Times New Roman"/>
          <w:sz w:val="24"/>
          <w:szCs w:val="24"/>
        </w:rPr>
        <w:t xml:space="preserve">, Tl diffuses across the sediment-water interface from the anoxic </w:t>
      </w:r>
      <w:hyperlink r:id="rId9" w:tooltip="Learn more about hypolimnion from ScienceDirect's AI-generated Topic Pages" w:history="1">
        <w:r w:rsidRPr="002F29A2">
          <w:rPr>
            <w:rFonts w:ascii="Times New Roman" w:eastAsia="Times New Roman" w:hAnsi="Times New Roman" w:cs="Times New Roman"/>
            <w:color w:val="0000FF"/>
            <w:sz w:val="24"/>
            <w:szCs w:val="24"/>
            <w:u w:val="single"/>
          </w:rPr>
          <w:t>hypolimnion</w:t>
        </w:r>
      </w:hyperlink>
      <w:r w:rsidRPr="002F29A2">
        <w:rPr>
          <w:rFonts w:ascii="Times New Roman" w:eastAsia="Times New Roman" w:hAnsi="Times New Roman" w:cs="Times New Roman"/>
          <w:sz w:val="24"/>
          <w:szCs w:val="24"/>
        </w:rPr>
        <w:t xml:space="preserve"> and is fixed to the </w:t>
      </w:r>
      <w:hyperlink r:id="rId10" w:tooltip="Learn more about surficial sediments from ScienceDirect's AI-generated Topic Pages" w:history="1">
        <w:r w:rsidRPr="002F29A2">
          <w:rPr>
            <w:rFonts w:ascii="Times New Roman" w:eastAsia="Times New Roman" w:hAnsi="Times New Roman" w:cs="Times New Roman"/>
            <w:color w:val="0000FF"/>
            <w:sz w:val="24"/>
            <w:szCs w:val="24"/>
            <w:u w:val="single"/>
          </w:rPr>
          <w:t>surficial sediments</w:t>
        </w:r>
      </w:hyperlink>
      <w:r w:rsidRPr="002F29A2">
        <w:rPr>
          <w:rFonts w:ascii="Times New Roman" w:eastAsia="Times New Roman" w:hAnsi="Times New Roman" w:cs="Times New Roman"/>
          <w:sz w:val="24"/>
          <w:szCs w:val="24"/>
        </w:rPr>
        <w:t xml:space="preserve">. The localization of the consumption zones, the shape of the dissolved Tl, sulfide and iron profiles, as well as calculations of saturation states are all consistent with the removal of Tl from porewater by co-precipitation with and/or adsorption to Fe sulfides. The concentrations of Tl removed from or added to sediments after their deposition (i.e., diagenetic Tl) amount to up to 36% of measured sediment Tl concentrations. Comparison of the reconstructed historical Tl records with those of polycyclic aromatic hydrocarbons (PAHs) and of Pb originating from coal burning or from smelting activities indicate that </w:t>
      </w:r>
      <w:hyperlink r:id="rId11" w:tooltip="Learn more about coal combustion from ScienceDirect's AI-generated Topic Pages" w:history="1">
        <w:r w:rsidRPr="002F29A2">
          <w:rPr>
            <w:rFonts w:ascii="Times New Roman" w:eastAsia="Times New Roman" w:hAnsi="Times New Roman" w:cs="Times New Roman"/>
            <w:color w:val="0000FF"/>
            <w:sz w:val="24"/>
            <w:szCs w:val="24"/>
            <w:u w:val="single"/>
          </w:rPr>
          <w:t>coal combustion</w:t>
        </w:r>
      </w:hyperlink>
      <w:r w:rsidRPr="002F29A2">
        <w:rPr>
          <w:rFonts w:ascii="Times New Roman" w:eastAsia="Times New Roman" w:hAnsi="Times New Roman" w:cs="Times New Roman"/>
          <w:sz w:val="24"/>
          <w:szCs w:val="24"/>
        </w:rPr>
        <w:t xml:space="preserve"> is the major source of atmospheric Tl to L. </w:t>
      </w:r>
      <w:proofErr w:type="spellStart"/>
      <w:r w:rsidRPr="002F29A2">
        <w:rPr>
          <w:rFonts w:ascii="Times New Roman" w:eastAsia="Times New Roman" w:hAnsi="Times New Roman" w:cs="Times New Roman"/>
          <w:sz w:val="24"/>
          <w:szCs w:val="24"/>
        </w:rPr>
        <w:t>Tantaré</w:t>
      </w:r>
      <w:proofErr w:type="spellEnd"/>
      <w:r w:rsidRPr="002F29A2">
        <w:rPr>
          <w:rFonts w:ascii="Times New Roman" w:eastAsia="Times New Roman" w:hAnsi="Times New Roman" w:cs="Times New Roman"/>
          <w:sz w:val="24"/>
          <w:szCs w:val="24"/>
        </w:rPr>
        <w:t xml:space="preserve"> and that an additional important Tl source to L. </w:t>
      </w:r>
      <w:proofErr w:type="spellStart"/>
      <w:r w:rsidRPr="002F29A2">
        <w:rPr>
          <w:rFonts w:ascii="Times New Roman" w:eastAsia="Times New Roman" w:hAnsi="Times New Roman" w:cs="Times New Roman"/>
          <w:sz w:val="24"/>
          <w:szCs w:val="24"/>
        </w:rPr>
        <w:t>Vose</w:t>
      </w:r>
      <w:proofErr w:type="spellEnd"/>
      <w:r w:rsidRPr="002F29A2">
        <w:rPr>
          <w:rFonts w:ascii="Times New Roman" w:eastAsia="Times New Roman" w:hAnsi="Times New Roman" w:cs="Times New Roman"/>
          <w:sz w:val="24"/>
          <w:szCs w:val="24"/>
        </w:rPr>
        <w:t xml:space="preserve"> is the nearby smelter.</w:t>
      </w:r>
    </w:p>
    <w:p w:rsidR="002F29A2" w:rsidRPr="002F29A2" w:rsidRDefault="002F29A2" w:rsidP="002F29A2">
      <w:pPr>
        <w:spacing w:before="100" w:beforeAutospacing="1" w:after="100" w:afterAutospacing="1" w:line="240" w:lineRule="auto"/>
        <w:outlineLvl w:val="1"/>
        <w:rPr>
          <w:rFonts w:ascii="Times New Roman" w:eastAsia="Times New Roman" w:hAnsi="Times New Roman" w:cs="Times New Roman"/>
          <w:b/>
          <w:bCs/>
          <w:sz w:val="36"/>
          <w:szCs w:val="36"/>
        </w:rPr>
      </w:pPr>
      <w:r w:rsidRPr="002F29A2">
        <w:rPr>
          <w:rFonts w:ascii="Times New Roman" w:eastAsia="Times New Roman" w:hAnsi="Times New Roman" w:cs="Times New Roman"/>
          <w:b/>
          <w:bCs/>
          <w:sz w:val="36"/>
          <w:szCs w:val="36"/>
        </w:rPr>
        <w:t>Introduction</w:t>
      </w:r>
    </w:p>
    <w:p w:rsidR="002F29A2" w:rsidRPr="002F29A2" w:rsidRDefault="002F29A2" w:rsidP="002F29A2">
      <w:pPr>
        <w:spacing w:before="100" w:beforeAutospacing="1" w:after="100" w:afterAutospacing="1" w:line="240" w:lineRule="auto"/>
        <w:rPr>
          <w:rFonts w:ascii="Times New Roman" w:eastAsia="Times New Roman" w:hAnsi="Times New Roman" w:cs="Times New Roman"/>
          <w:sz w:val="24"/>
          <w:szCs w:val="24"/>
        </w:rPr>
      </w:pPr>
      <w:r w:rsidRPr="002F29A2">
        <w:rPr>
          <w:rFonts w:ascii="Times New Roman" w:eastAsia="Times New Roman" w:hAnsi="Times New Roman" w:cs="Times New Roman"/>
          <w:sz w:val="24"/>
          <w:szCs w:val="24"/>
        </w:rPr>
        <w:t>Thallium, given its low boiling point, is readily emitted to the atmosphere from coal combustion, cement production, metal smelting and refuse incineration (</w:t>
      </w:r>
      <w:proofErr w:type="spellStart"/>
      <w:r w:rsidRPr="002F29A2">
        <w:rPr>
          <w:rFonts w:ascii="Times New Roman" w:eastAsia="Times New Roman" w:hAnsi="Times New Roman" w:cs="Times New Roman"/>
          <w:sz w:val="24"/>
          <w:szCs w:val="24"/>
        </w:rPr>
        <w:t>Nriagu</w:t>
      </w:r>
      <w:proofErr w:type="spellEnd"/>
      <w:r w:rsidRPr="002F29A2">
        <w:rPr>
          <w:rFonts w:ascii="Times New Roman" w:eastAsia="Times New Roman" w:hAnsi="Times New Roman" w:cs="Times New Roman"/>
          <w:sz w:val="24"/>
          <w:szCs w:val="24"/>
        </w:rPr>
        <w:t xml:space="preserve"> and Pacyna 1988, Pacyna and Pacyna 2001, Lis et al 2003). Concentrations of this metal well above natural levels have been found in </w:t>
      </w:r>
      <w:proofErr w:type="spellStart"/>
      <w:r w:rsidRPr="002F29A2">
        <w:rPr>
          <w:rFonts w:ascii="Times New Roman" w:eastAsia="Times New Roman" w:hAnsi="Times New Roman" w:cs="Times New Roman"/>
          <w:sz w:val="24"/>
          <w:szCs w:val="24"/>
        </w:rPr>
        <w:t>snowpacks</w:t>
      </w:r>
      <w:proofErr w:type="spellEnd"/>
      <w:r w:rsidRPr="002F29A2">
        <w:rPr>
          <w:rFonts w:ascii="Times New Roman" w:eastAsia="Times New Roman" w:hAnsi="Times New Roman" w:cs="Times New Roman"/>
          <w:sz w:val="24"/>
          <w:szCs w:val="24"/>
        </w:rPr>
        <w:t xml:space="preserve"> located as far as 50 km from a metal smelter (</w:t>
      </w:r>
      <w:proofErr w:type="spellStart"/>
      <w:r w:rsidRPr="002F29A2">
        <w:rPr>
          <w:rFonts w:ascii="Times New Roman" w:eastAsia="Times New Roman" w:hAnsi="Times New Roman" w:cs="Times New Roman"/>
          <w:sz w:val="24"/>
          <w:szCs w:val="24"/>
        </w:rPr>
        <w:t>Telmer</w:t>
      </w:r>
      <w:proofErr w:type="spellEnd"/>
      <w:r w:rsidRPr="002F29A2">
        <w:rPr>
          <w:rFonts w:ascii="Times New Roman" w:eastAsia="Times New Roman" w:hAnsi="Times New Roman" w:cs="Times New Roman"/>
          <w:sz w:val="24"/>
          <w:szCs w:val="24"/>
        </w:rPr>
        <w:t xml:space="preserve"> et al., 2004) and in an ombrotrophic peat bog from Switzerland (</w:t>
      </w:r>
      <w:proofErr w:type="spellStart"/>
      <w:r w:rsidRPr="002F29A2">
        <w:rPr>
          <w:rFonts w:ascii="Times New Roman" w:eastAsia="Times New Roman" w:hAnsi="Times New Roman" w:cs="Times New Roman"/>
          <w:sz w:val="24"/>
          <w:szCs w:val="24"/>
        </w:rPr>
        <w:t>Shotyk</w:t>
      </w:r>
      <w:proofErr w:type="spellEnd"/>
      <w:r w:rsidRPr="002F29A2">
        <w:rPr>
          <w:rFonts w:ascii="Times New Roman" w:eastAsia="Times New Roman" w:hAnsi="Times New Roman" w:cs="Times New Roman"/>
          <w:sz w:val="24"/>
          <w:szCs w:val="24"/>
        </w:rPr>
        <w:t xml:space="preserve"> and </w:t>
      </w:r>
      <w:proofErr w:type="spellStart"/>
      <w:r w:rsidRPr="002F29A2">
        <w:rPr>
          <w:rFonts w:ascii="Times New Roman" w:eastAsia="Times New Roman" w:hAnsi="Times New Roman" w:cs="Times New Roman"/>
          <w:sz w:val="24"/>
          <w:szCs w:val="24"/>
        </w:rPr>
        <w:t>Krachler</w:t>
      </w:r>
      <w:proofErr w:type="spellEnd"/>
      <w:r w:rsidRPr="002F29A2">
        <w:rPr>
          <w:rFonts w:ascii="Times New Roman" w:eastAsia="Times New Roman" w:hAnsi="Times New Roman" w:cs="Times New Roman"/>
          <w:sz w:val="24"/>
          <w:szCs w:val="24"/>
        </w:rPr>
        <w:t>, 2004). These observations indicate regional contamination of ecosystems by atmospheric deposition of this trace element. The high toxicity of thallium (</w:t>
      </w:r>
      <w:proofErr w:type="spellStart"/>
      <w:r w:rsidRPr="002F29A2">
        <w:rPr>
          <w:rFonts w:ascii="Times New Roman" w:eastAsia="Times New Roman" w:hAnsi="Times New Roman" w:cs="Times New Roman"/>
          <w:sz w:val="24"/>
          <w:szCs w:val="24"/>
        </w:rPr>
        <w:t>Zitco</w:t>
      </w:r>
      <w:proofErr w:type="spellEnd"/>
      <w:r w:rsidRPr="002F29A2">
        <w:rPr>
          <w:rFonts w:ascii="Times New Roman" w:eastAsia="Times New Roman" w:hAnsi="Times New Roman" w:cs="Times New Roman"/>
          <w:sz w:val="24"/>
          <w:szCs w:val="24"/>
        </w:rPr>
        <w:t xml:space="preserve"> 1975, Repetto et al 1998), a metal classified as a priority pollutant by the U.S. EPA (Keith and </w:t>
      </w:r>
      <w:proofErr w:type="spellStart"/>
      <w:r w:rsidRPr="002F29A2">
        <w:rPr>
          <w:rFonts w:ascii="Times New Roman" w:eastAsia="Times New Roman" w:hAnsi="Times New Roman" w:cs="Times New Roman"/>
          <w:sz w:val="24"/>
          <w:szCs w:val="24"/>
        </w:rPr>
        <w:t>Telliard</w:t>
      </w:r>
      <w:proofErr w:type="spellEnd"/>
      <w:r w:rsidRPr="002F29A2">
        <w:rPr>
          <w:rFonts w:ascii="Times New Roman" w:eastAsia="Times New Roman" w:hAnsi="Times New Roman" w:cs="Times New Roman"/>
          <w:sz w:val="24"/>
          <w:szCs w:val="24"/>
        </w:rPr>
        <w:t>, 1979), and its dispersion potential warrant investigations to understand its geochemical cycling in aquatic systems.</w:t>
      </w:r>
    </w:p>
    <w:p w:rsidR="002F29A2" w:rsidRPr="002F29A2" w:rsidRDefault="002F29A2" w:rsidP="002F29A2">
      <w:pPr>
        <w:spacing w:before="100" w:beforeAutospacing="1" w:after="100" w:afterAutospacing="1" w:line="240" w:lineRule="auto"/>
        <w:rPr>
          <w:rFonts w:ascii="Times New Roman" w:eastAsia="Times New Roman" w:hAnsi="Times New Roman" w:cs="Times New Roman"/>
          <w:sz w:val="24"/>
          <w:szCs w:val="24"/>
        </w:rPr>
      </w:pPr>
      <w:r w:rsidRPr="002F29A2">
        <w:rPr>
          <w:rFonts w:ascii="Times New Roman" w:eastAsia="Times New Roman" w:hAnsi="Times New Roman" w:cs="Times New Roman"/>
          <w:sz w:val="24"/>
          <w:szCs w:val="24"/>
        </w:rPr>
        <w:t>The aquatic geochemistry of Tl is poorly known. Only a few studies have been carried out in the water column of marine (</w:t>
      </w:r>
      <w:proofErr w:type="spellStart"/>
      <w:r w:rsidRPr="002F29A2">
        <w:rPr>
          <w:rFonts w:ascii="Times New Roman" w:eastAsia="Times New Roman" w:hAnsi="Times New Roman" w:cs="Times New Roman"/>
          <w:sz w:val="24"/>
          <w:szCs w:val="24"/>
        </w:rPr>
        <w:t>Batley</w:t>
      </w:r>
      <w:proofErr w:type="spellEnd"/>
      <w:r w:rsidRPr="002F29A2">
        <w:rPr>
          <w:rFonts w:ascii="Times New Roman" w:eastAsia="Times New Roman" w:hAnsi="Times New Roman" w:cs="Times New Roman"/>
          <w:sz w:val="24"/>
          <w:szCs w:val="24"/>
        </w:rPr>
        <w:t xml:space="preserve"> and Florence 1975, </w:t>
      </w:r>
      <w:proofErr w:type="spellStart"/>
      <w:r w:rsidRPr="002F29A2">
        <w:rPr>
          <w:rFonts w:ascii="Times New Roman" w:eastAsia="Times New Roman" w:hAnsi="Times New Roman" w:cs="Times New Roman"/>
          <w:sz w:val="24"/>
          <w:szCs w:val="24"/>
        </w:rPr>
        <w:t>Flegal</w:t>
      </w:r>
      <w:proofErr w:type="spellEnd"/>
      <w:r w:rsidRPr="002F29A2">
        <w:rPr>
          <w:rFonts w:ascii="Times New Roman" w:eastAsia="Times New Roman" w:hAnsi="Times New Roman" w:cs="Times New Roman"/>
          <w:sz w:val="24"/>
          <w:szCs w:val="24"/>
        </w:rPr>
        <w:t xml:space="preserve"> and Patterson 1985, </w:t>
      </w:r>
      <w:proofErr w:type="spellStart"/>
      <w:r w:rsidRPr="002F29A2">
        <w:rPr>
          <w:rFonts w:ascii="Times New Roman" w:eastAsia="Times New Roman" w:hAnsi="Times New Roman" w:cs="Times New Roman"/>
          <w:sz w:val="24"/>
          <w:szCs w:val="24"/>
        </w:rPr>
        <w:t>Flegal</w:t>
      </w:r>
      <w:proofErr w:type="spellEnd"/>
      <w:r w:rsidRPr="002F29A2">
        <w:rPr>
          <w:rFonts w:ascii="Times New Roman" w:eastAsia="Times New Roman" w:hAnsi="Times New Roman" w:cs="Times New Roman"/>
          <w:sz w:val="24"/>
          <w:szCs w:val="24"/>
        </w:rPr>
        <w:t xml:space="preserve"> et al 1986, </w:t>
      </w:r>
      <w:proofErr w:type="spellStart"/>
      <w:r w:rsidRPr="002F29A2">
        <w:rPr>
          <w:rFonts w:ascii="Times New Roman" w:eastAsia="Times New Roman" w:hAnsi="Times New Roman" w:cs="Times New Roman"/>
          <w:sz w:val="24"/>
          <w:szCs w:val="24"/>
        </w:rPr>
        <w:t>Flegal</w:t>
      </w:r>
      <w:proofErr w:type="spellEnd"/>
      <w:r w:rsidRPr="002F29A2">
        <w:rPr>
          <w:rFonts w:ascii="Times New Roman" w:eastAsia="Times New Roman" w:hAnsi="Times New Roman" w:cs="Times New Roman"/>
          <w:sz w:val="24"/>
          <w:szCs w:val="24"/>
        </w:rPr>
        <w:t xml:space="preserve"> et al 1989) and freshwater (Lin and </w:t>
      </w:r>
      <w:proofErr w:type="spellStart"/>
      <w:r w:rsidRPr="002F29A2">
        <w:rPr>
          <w:rFonts w:ascii="Times New Roman" w:eastAsia="Times New Roman" w:hAnsi="Times New Roman" w:cs="Times New Roman"/>
          <w:sz w:val="24"/>
          <w:szCs w:val="24"/>
        </w:rPr>
        <w:t>Nriagu</w:t>
      </w:r>
      <w:proofErr w:type="spellEnd"/>
      <w:r w:rsidRPr="002F29A2">
        <w:rPr>
          <w:rFonts w:ascii="Times New Roman" w:eastAsia="Times New Roman" w:hAnsi="Times New Roman" w:cs="Times New Roman"/>
          <w:sz w:val="24"/>
          <w:szCs w:val="24"/>
        </w:rPr>
        <w:t xml:space="preserve"> 1998a, Lin and </w:t>
      </w:r>
      <w:proofErr w:type="spellStart"/>
      <w:r w:rsidRPr="002F29A2">
        <w:rPr>
          <w:rFonts w:ascii="Times New Roman" w:eastAsia="Times New Roman" w:hAnsi="Times New Roman" w:cs="Times New Roman"/>
          <w:sz w:val="24"/>
          <w:szCs w:val="24"/>
        </w:rPr>
        <w:t>Nriagu</w:t>
      </w:r>
      <w:proofErr w:type="spellEnd"/>
      <w:r w:rsidRPr="002F29A2">
        <w:rPr>
          <w:rFonts w:ascii="Times New Roman" w:eastAsia="Times New Roman" w:hAnsi="Times New Roman" w:cs="Times New Roman"/>
          <w:sz w:val="24"/>
          <w:szCs w:val="24"/>
        </w:rPr>
        <w:t xml:space="preserve"> 1999a, Lin and </w:t>
      </w:r>
      <w:proofErr w:type="spellStart"/>
      <w:r w:rsidRPr="002F29A2">
        <w:rPr>
          <w:rFonts w:ascii="Times New Roman" w:eastAsia="Times New Roman" w:hAnsi="Times New Roman" w:cs="Times New Roman"/>
          <w:sz w:val="24"/>
          <w:szCs w:val="24"/>
        </w:rPr>
        <w:t>Nriagu</w:t>
      </w:r>
      <w:proofErr w:type="spellEnd"/>
      <w:r w:rsidRPr="002F29A2">
        <w:rPr>
          <w:rFonts w:ascii="Times New Roman" w:eastAsia="Times New Roman" w:hAnsi="Times New Roman" w:cs="Times New Roman"/>
          <w:sz w:val="24"/>
          <w:szCs w:val="24"/>
        </w:rPr>
        <w:t xml:space="preserve"> 1999b, Ralph and Twiss 2002, Twining et al 2003, Twiss et al 2003, Twiss et al 2004) systems; these studies yielded information on Tl distribution and speciation in the water column and on its uptake and redox transformation by phytoplankton.</w:t>
      </w:r>
    </w:p>
    <w:p w:rsidR="002F29A2" w:rsidRPr="002F29A2" w:rsidRDefault="002F29A2" w:rsidP="002F29A2">
      <w:pPr>
        <w:spacing w:before="100" w:beforeAutospacing="1" w:after="100" w:afterAutospacing="1" w:line="240" w:lineRule="auto"/>
        <w:rPr>
          <w:rFonts w:ascii="Times New Roman" w:eastAsia="Times New Roman" w:hAnsi="Times New Roman" w:cs="Times New Roman"/>
          <w:sz w:val="24"/>
          <w:szCs w:val="24"/>
        </w:rPr>
      </w:pPr>
      <w:r w:rsidRPr="002F29A2">
        <w:rPr>
          <w:rFonts w:ascii="Times New Roman" w:eastAsia="Times New Roman" w:hAnsi="Times New Roman" w:cs="Times New Roman"/>
          <w:sz w:val="24"/>
          <w:szCs w:val="24"/>
        </w:rPr>
        <w:lastRenderedPageBreak/>
        <w:t xml:space="preserve">Data on sedimentary thallium are even fewer. Müller et al. (2000) measured Tl concentrations in a dated sediment core from a reservoir to infer the chronology of thallium contamination from mining activities. Such an interpretation assumes that post-depositional mobility of Tl is negligible. Yet, the only two profiles of porewater Tl concentrations reported in the literature (Cheam et al 1996, Cheam 2001) show sharp Tl peaks a few cm below the sediment-water interface that indicate post-depositional remobilization of Tl, its </w:t>
      </w:r>
      <w:proofErr w:type="spellStart"/>
      <w:r w:rsidRPr="002F29A2">
        <w:rPr>
          <w:rFonts w:ascii="Times New Roman" w:eastAsia="Times New Roman" w:hAnsi="Times New Roman" w:cs="Times New Roman"/>
          <w:sz w:val="24"/>
          <w:szCs w:val="24"/>
        </w:rPr>
        <w:t>relocalization</w:t>
      </w:r>
      <w:proofErr w:type="spellEnd"/>
      <w:r w:rsidRPr="002F29A2">
        <w:rPr>
          <w:rFonts w:ascii="Times New Roman" w:eastAsia="Times New Roman" w:hAnsi="Times New Roman" w:cs="Times New Roman"/>
          <w:sz w:val="24"/>
          <w:szCs w:val="24"/>
        </w:rPr>
        <w:t xml:space="preserve"> within the sediment column and its transport to the overlying water. The potential influence of diagenetic processes on the Tl sedimentary profiles has not been addressed to date.</w:t>
      </w:r>
    </w:p>
    <w:p w:rsidR="002F29A2" w:rsidRPr="002F29A2" w:rsidRDefault="002F29A2" w:rsidP="002F29A2">
      <w:pPr>
        <w:spacing w:before="100" w:beforeAutospacing="1" w:after="100" w:afterAutospacing="1" w:line="240" w:lineRule="auto"/>
        <w:rPr>
          <w:rFonts w:ascii="Times New Roman" w:eastAsia="Times New Roman" w:hAnsi="Times New Roman" w:cs="Times New Roman"/>
          <w:sz w:val="24"/>
          <w:szCs w:val="24"/>
        </w:rPr>
      </w:pPr>
      <w:r w:rsidRPr="002F29A2">
        <w:rPr>
          <w:rFonts w:ascii="Times New Roman" w:eastAsia="Times New Roman" w:hAnsi="Times New Roman" w:cs="Times New Roman"/>
          <w:sz w:val="24"/>
          <w:szCs w:val="24"/>
        </w:rPr>
        <w:t xml:space="preserve">In this study, we report on the distribution of Tl and other geochemical variables in sediment cores and porewater samples collected from two headwater Canadian Shield lakes: L. </w:t>
      </w:r>
      <w:proofErr w:type="spellStart"/>
      <w:r w:rsidRPr="002F29A2">
        <w:rPr>
          <w:rFonts w:ascii="Times New Roman" w:eastAsia="Times New Roman" w:hAnsi="Times New Roman" w:cs="Times New Roman"/>
          <w:sz w:val="24"/>
          <w:szCs w:val="24"/>
        </w:rPr>
        <w:t>Tantaré</w:t>
      </w:r>
      <w:proofErr w:type="spellEnd"/>
      <w:r w:rsidRPr="002F29A2">
        <w:rPr>
          <w:rFonts w:ascii="Times New Roman" w:eastAsia="Times New Roman" w:hAnsi="Times New Roman" w:cs="Times New Roman"/>
          <w:sz w:val="24"/>
          <w:szCs w:val="24"/>
        </w:rPr>
        <w:t xml:space="preserve"> (Fig. 1c), located in an ecological reserve, 40 km northwest of Québec City, a medium size Canadian city, and L. </w:t>
      </w:r>
      <w:proofErr w:type="spellStart"/>
      <w:r w:rsidRPr="002F29A2">
        <w:rPr>
          <w:rFonts w:ascii="Times New Roman" w:eastAsia="Times New Roman" w:hAnsi="Times New Roman" w:cs="Times New Roman"/>
          <w:sz w:val="24"/>
          <w:szCs w:val="24"/>
        </w:rPr>
        <w:t>Vose</w:t>
      </w:r>
      <w:proofErr w:type="spellEnd"/>
      <w:r w:rsidRPr="002F29A2">
        <w:rPr>
          <w:rFonts w:ascii="Times New Roman" w:eastAsia="Times New Roman" w:hAnsi="Times New Roman" w:cs="Times New Roman"/>
          <w:sz w:val="24"/>
          <w:szCs w:val="24"/>
        </w:rPr>
        <w:t xml:space="preserve"> (Fig. 1b), located in </w:t>
      </w:r>
      <w:proofErr w:type="spellStart"/>
      <w:r w:rsidRPr="002F29A2">
        <w:rPr>
          <w:rFonts w:ascii="Times New Roman" w:eastAsia="Times New Roman" w:hAnsi="Times New Roman" w:cs="Times New Roman"/>
          <w:sz w:val="24"/>
          <w:szCs w:val="24"/>
        </w:rPr>
        <w:t>Aiguebelle</w:t>
      </w:r>
      <w:proofErr w:type="spellEnd"/>
      <w:r w:rsidRPr="002F29A2">
        <w:rPr>
          <w:rFonts w:ascii="Times New Roman" w:eastAsia="Times New Roman" w:hAnsi="Times New Roman" w:cs="Times New Roman"/>
          <w:sz w:val="24"/>
          <w:szCs w:val="24"/>
        </w:rPr>
        <w:t xml:space="preserve"> Provincial Park, 25 km downwind from the copper, zinc, and lead smelter in Rouyn-Noranda (Horne smelter), a known point source of Tl emissions (</w:t>
      </w:r>
      <w:proofErr w:type="spellStart"/>
      <w:r w:rsidRPr="002F29A2">
        <w:rPr>
          <w:rFonts w:ascii="Times New Roman" w:eastAsia="Times New Roman" w:hAnsi="Times New Roman" w:cs="Times New Roman"/>
          <w:sz w:val="24"/>
          <w:szCs w:val="24"/>
        </w:rPr>
        <w:t>Telmer</w:t>
      </w:r>
      <w:proofErr w:type="spellEnd"/>
      <w:r w:rsidRPr="002F29A2">
        <w:rPr>
          <w:rFonts w:ascii="Times New Roman" w:eastAsia="Times New Roman" w:hAnsi="Times New Roman" w:cs="Times New Roman"/>
          <w:sz w:val="24"/>
          <w:szCs w:val="24"/>
        </w:rPr>
        <w:t xml:space="preserve"> et al., 2004). The uninhabited watersheds of </w:t>
      </w:r>
      <w:proofErr w:type="gramStart"/>
      <w:r w:rsidRPr="002F29A2">
        <w:rPr>
          <w:rFonts w:ascii="Times New Roman" w:eastAsia="Times New Roman" w:hAnsi="Times New Roman" w:cs="Times New Roman"/>
          <w:sz w:val="24"/>
          <w:szCs w:val="24"/>
        </w:rPr>
        <w:t>these two small</w:t>
      </w:r>
      <w:proofErr w:type="gramEnd"/>
      <w:r w:rsidRPr="002F29A2">
        <w:rPr>
          <w:rFonts w:ascii="Times New Roman" w:eastAsia="Times New Roman" w:hAnsi="Times New Roman" w:cs="Times New Roman"/>
          <w:sz w:val="24"/>
          <w:szCs w:val="24"/>
        </w:rPr>
        <w:t>, oligotrophic, dimictic lakes have not been affected by wildfires for the last 100 years, nor by wood harvesting, except for marginal (</w:t>
      </w:r>
      <w:r w:rsidRPr="002F29A2">
        <w:rPr>
          <w:rFonts w:ascii="Cambria Math" w:eastAsia="Times New Roman" w:hAnsi="Cambria Math" w:cs="Cambria Math"/>
          <w:sz w:val="24"/>
          <w:szCs w:val="24"/>
        </w:rPr>
        <w:t>∼</w:t>
      </w:r>
      <w:r w:rsidRPr="002F29A2">
        <w:rPr>
          <w:rFonts w:ascii="Times New Roman" w:eastAsia="Times New Roman" w:hAnsi="Times New Roman" w:cs="Times New Roman"/>
          <w:sz w:val="24"/>
          <w:szCs w:val="24"/>
        </w:rPr>
        <w:t xml:space="preserve">2%) selective tree cutting that occurred in L. </w:t>
      </w:r>
      <w:proofErr w:type="spellStart"/>
      <w:r w:rsidRPr="002F29A2">
        <w:rPr>
          <w:rFonts w:ascii="Times New Roman" w:eastAsia="Times New Roman" w:hAnsi="Times New Roman" w:cs="Times New Roman"/>
          <w:sz w:val="24"/>
          <w:szCs w:val="24"/>
        </w:rPr>
        <w:t>Tantaré</w:t>
      </w:r>
      <w:proofErr w:type="spellEnd"/>
      <w:r w:rsidRPr="002F29A2">
        <w:rPr>
          <w:rFonts w:ascii="Times New Roman" w:eastAsia="Times New Roman" w:hAnsi="Times New Roman" w:cs="Times New Roman"/>
          <w:sz w:val="24"/>
          <w:szCs w:val="24"/>
        </w:rPr>
        <w:t xml:space="preserve"> watershed between 1961 and 1972 (MEQ, 1990). Thus, inputs of Tl to these lakes include natural weathering and enhanced atmospheric deposition from human activities. The hypolimnion of L. </w:t>
      </w:r>
      <w:proofErr w:type="spellStart"/>
      <w:r w:rsidRPr="002F29A2">
        <w:rPr>
          <w:rFonts w:ascii="Times New Roman" w:eastAsia="Times New Roman" w:hAnsi="Times New Roman" w:cs="Times New Roman"/>
          <w:sz w:val="24"/>
          <w:szCs w:val="24"/>
        </w:rPr>
        <w:t>Vose</w:t>
      </w:r>
      <w:proofErr w:type="spellEnd"/>
      <w:r w:rsidRPr="002F29A2">
        <w:rPr>
          <w:rFonts w:ascii="Times New Roman" w:eastAsia="Times New Roman" w:hAnsi="Times New Roman" w:cs="Times New Roman"/>
          <w:sz w:val="24"/>
          <w:szCs w:val="24"/>
        </w:rPr>
        <w:t xml:space="preserve"> becomes anoxic during the summer, whereas that of L. </w:t>
      </w:r>
      <w:proofErr w:type="spellStart"/>
      <w:r w:rsidRPr="002F29A2">
        <w:rPr>
          <w:rFonts w:ascii="Times New Roman" w:eastAsia="Times New Roman" w:hAnsi="Times New Roman" w:cs="Times New Roman"/>
          <w:sz w:val="24"/>
          <w:szCs w:val="24"/>
        </w:rPr>
        <w:t>Tantaré</w:t>
      </w:r>
      <w:proofErr w:type="spellEnd"/>
      <w:r w:rsidRPr="002F29A2">
        <w:rPr>
          <w:rFonts w:ascii="Times New Roman" w:eastAsia="Times New Roman" w:hAnsi="Times New Roman" w:cs="Times New Roman"/>
          <w:sz w:val="24"/>
          <w:szCs w:val="24"/>
        </w:rPr>
        <w:t xml:space="preserve"> does not. Several characteristics of these two lakes are given in Table 1. Our extensive data set is used, with the aid of diagenetic modeling and thermodynamic calculations, to understand reactions involving Tl in the sediments, to assess its post-depositional mobility and to interpret its sedimentary record.</w:t>
      </w:r>
    </w:p>
    <w:p w:rsidR="002F29A2" w:rsidRPr="002F29A2" w:rsidRDefault="002F29A2" w:rsidP="002F29A2">
      <w:pPr>
        <w:spacing w:before="100" w:beforeAutospacing="1" w:after="100" w:afterAutospacing="1" w:line="240" w:lineRule="auto"/>
        <w:outlineLvl w:val="1"/>
        <w:rPr>
          <w:rFonts w:ascii="Times New Roman" w:eastAsia="Times New Roman" w:hAnsi="Times New Roman" w:cs="Times New Roman"/>
          <w:b/>
          <w:bCs/>
          <w:sz w:val="36"/>
          <w:szCs w:val="36"/>
        </w:rPr>
      </w:pPr>
      <w:r w:rsidRPr="002F29A2">
        <w:rPr>
          <w:rFonts w:ascii="Times New Roman" w:eastAsia="Times New Roman" w:hAnsi="Times New Roman" w:cs="Times New Roman"/>
          <w:b/>
          <w:bCs/>
          <w:sz w:val="36"/>
          <w:szCs w:val="36"/>
        </w:rPr>
        <w:t>Section snippets</w:t>
      </w:r>
    </w:p>
    <w:p w:rsidR="002F29A2" w:rsidRPr="002F29A2" w:rsidRDefault="002F29A2" w:rsidP="002F29A2">
      <w:pPr>
        <w:spacing w:before="100" w:beforeAutospacing="1" w:after="100" w:afterAutospacing="1" w:line="240" w:lineRule="auto"/>
        <w:outlineLvl w:val="1"/>
        <w:rPr>
          <w:rFonts w:ascii="Times New Roman" w:eastAsia="Times New Roman" w:hAnsi="Times New Roman" w:cs="Times New Roman"/>
          <w:b/>
          <w:bCs/>
          <w:sz w:val="36"/>
          <w:szCs w:val="36"/>
        </w:rPr>
      </w:pPr>
      <w:r w:rsidRPr="002F29A2">
        <w:rPr>
          <w:rFonts w:ascii="Times New Roman" w:eastAsia="Times New Roman" w:hAnsi="Times New Roman" w:cs="Times New Roman"/>
          <w:b/>
          <w:bCs/>
          <w:sz w:val="36"/>
          <w:szCs w:val="36"/>
        </w:rPr>
        <w:t>Methods</w:t>
      </w:r>
    </w:p>
    <w:p w:rsidR="002F29A2" w:rsidRPr="002F29A2" w:rsidRDefault="002F29A2" w:rsidP="002F29A2">
      <w:pPr>
        <w:spacing w:before="100" w:beforeAutospacing="1" w:after="100" w:afterAutospacing="1" w:line="240" w:lineRule="auto"/>
        <w:rPr>
          <w:rFonts w:ascii="Times New Roman" w:eastAsia="Times New Roman" w:hAnsi="Times New Roman" w:cs="Times New Roman"/>
          <w:sz w:val="24"/>
          <w:szCs w:val="24"/>
        </w:rPr>
      </w:pPr>
      <w:r w:rsidRPr="002F29A2">
        <w:rPr>
          <w:rFonts w:ascii="Times New Roman" w:eastAsia="Times New Roman" w:hAnsi="Times New Roman" w:cs="Times New Roman"/>
          <w:sz w:val="24"/>
          <w:szCs w:val="24"/>
        </w:rPr>
        <w:t>Unless otherwise noted, all glassware was cleaned with 7–15% v/v nitric acid (</w:t>
      </w:r>
      <w:proofErr w:type="spellStart"/>
      <w:r w:rsidRPr="002F29A2">
        <w:rPr>
          <w:rFonts w:ascii="Times New Roman" w:eastAsia="Times New Roman" w:hAnsi="Times New Roman" w:cs="Times New Roman"/>
          <w:sz w:val="24"/>
          <w:szCs w:val="24"/>
        </w:rPr>
        <w:t>TraceMetal</w:t>
      </w:r>
      <w:proofErr w:type="spellEnd"/>
      <w:r w:rsidRPr="002F29A2">
        <w:rPr>
          <w:rFonts w:ascii="Times New Roman" w:eastAsia="Times New Roman" w:hAnsi="Times New Roman" w:cs="Times New Roman"/>
          <w:sz w:val="24"/>
          <w:szCs w:val="24"/>
        </w:rPr>
        <w:t xml:space="preserve">, </w:t>
      </w:r>
      <w:proofErr w:type="spellStart"/>
      <w:r w:rsidRPr="002F29A2">
        <w:rPr>
          <w:rFonts w:ascii="Times New Roman" w:eastAsia="Times New Roman" w:hAnsi="Times New Roman" w:cs="Times New Roman"/>
          <w:sz w:val="24"/>
          <w:szCs w:val="24"/>
        </w:rPr>
        <w:t>Anachemia</w:t>
      </w:r>
      <w:proofErr w:type="spellEnd"/>
      <w:r w:rsidRPr="002F29A2">
        <w:rPr>
          <w:rFonts w:ascii="Times New Roman" w:eastAsia="Times New Roman" w:hAnsi="Times New Roman" w:cs="Times New Roman"/>
          <w:sz w:val="24"/>
          <w:szCs w:val="24"/>
        </w:rPr>
        <w:t>), rinsed thoroughly with ultrapure water (&gt;16 MΩ cm) and dried under a laminar flow hood.</w:t>
      </w:r>
    </w:p>
    <w:p w:rsidR="002F29A2" w:rsidRPr="002F29A2" w:rsidRDefault="002F29A2" w:rsidP="002F29A2">
      <w:pPr>
        <w:spacing w:before="100" w:beforeAutospacing="1" w:after="100" w:afterAutospacing="1" w:line="240" w:lineRule="auto"/>
        <w:outlineLvl w:val="1"/>
        <w:rPr>
          <w:rFonts w:ascii="Times New Roman" w:eastAsia="Times New Roman" w:hAnsi="Times New Roman" w:cs="Times New Roman"/>
          <w:b/>
          <w:bCs/>
          <w:sz w:val="36"/>
          <w:szCs w:val="36"/>
        </w:rPr>
      </w:pPr>
      <w:r w:rsidRPr="002F29A2">
        <w:rPr>
          <w:rFonts w:ascii="Times New Roman" w:eastAsia="Times New Roman" w:hAnsi="Times New Roman" w:cs="Times New Roman"/>
          <w:b/>
          <w:bCs/>
          <w:sz w:val="36"/>
          <w:szCs w:val="36"/>
        </w:rPr>
        <w:t>Results</w:t>
      </w:r>
    </w:p>
    <w:p w:rsidR="002F29A2" w:rsidRPr="002F29A2" w:rsidRDefault="002F29A2" w:rsidP="002F29A2">
      <w:pPr>
        <w:spacing w:before="100" w:beforeAutospacing="1" w:after="100" w:afterAutospacing="1" w:line="240" w:lineRule="auto"/>
        <w:rPr>
          <w:rFonts w:ascii="Times New Roman" w:eastAsia="Times New Roman" w:hAnsi="Times New Roman" w:cs="Times New Roman"/>
          <w:sz w:val="24"/>
          <w:szCs w:val="24"/>
        </w:rPr>
      </w:pPr>
      <w:r w:rsidRPr="002F29A2">
        <w:rPr>
          <w:rFonts w:ascii="Times New Roman" w:eastAsia="Times New Roman" w:hAnsi="Times New Roman" w:cs="Times New Roman"/>
          <w:sz w:val="24"/>
          <w:szCs w:val="24"/>
        </w:rPr>
        <w:t>In this paper, [X] and {X} represent the concentration of species X in the aqueous and solid phases, respectively, and, unless specified, errors are standard deviations (SD).</w:t>
      </w:r>
    </w:p>
    <w:p w:rsidR="002F29A2" w:rsidRPr="002F29A2" w:rsidRDefault="002F29A2" w:rsidP="002F29A2">
      <w:pPr>
        <w:spacing w:before="100" w:beforeAutospacing="1" w:after="100" w:afterAutospacing="1" w:line="240" w:lineRule="auto"/>
        <w:outlineLvl w:val="1"/>
        <w:rPr>
          <w:rFonts w:ascii="Times New Roman" w:eastAsia="Times New Roman" w:hAnsi="Times New Roman" w:cs="Times New Roman"/>
          <w:b/>
          <w:bCs/>
          <w:sz w:val="36"/>
          <w:szCs w:val="36"/>
        </w:rPr>
      </w:pPr>
      <w:r w:rsidRPr="002F29A2">
        <w:rPr>
          <w:rFonts w:ascii="Times New Roman" w:eastAsia="Times New Roman" w:hAnsi="Times New Roman" w:cs="Times New Roman"/>
          <w:b/>
          <w:bCs/>
          <w:sz w:val="36"/>
          <w:szCs w:val="36"/>
        </w:rPr>
        <w:t>Diagenetic Alteration of the Solid Phase Tl Profiles</w:t>
      </w:r>
    </w:p>
    <w:p w:rsidR="002F29A2" w:rsidRPr="002F29A2" w:rsidRDefault="002F29A2" w:rsidP="002F29A2">
      <w:pPr>
        <w:spacing w:before="100" w:beforeAutospacing="1" w:after="100" w:afterAutospacing="1" w:line="240" w:lineRule="auto"/>
        <w:rPr>
          <w:rFonts w:ascii="Times New Roman" w:eastAsia="Times New Roman" w:hAnsi="Times New Roman" w:cs="Times New Roman"/>
          <w:sz w:val="24"/>
          <w:szCs w:val="24"/>
        </w:rPr>
      </w:pPr>
      <w:r w:rsidRPr="002F29A2">
        <w:rPr>
          <w:rFonts w:ascii="Times New Roman" w:eastAsia="Times New Roman" w:hAnsi="Times New Roman" w:cs="Times New Roman"/>
          <w:sz w:val="24"/>
          <w:szCs w:val="24"/>
        </w:rPr>
        <w:t xml:space="preserve">Sedimentary Tl profiles such as those reported in Fig. 2d and 2h are the net result of: </w:t>
      </w:r>
      <w:proofErr w:type="spellStart"/>
      <w:r w:rsidRPr="002F29A2">
        <w:rPr>
          <w:rFonts w:ascii="Times New Roman" w:eastAsia="Times New Roman" w:hAnsi="Times New Roman" w:cs="Times New Roman"/>
          <w:sz w:val="24"/>
          <w:szCs w:val="24"/>
        </w:rPr>
        <w:t>i</w:t>
      </w:r>
      <w:proofErr w:type="spellEnd"/>
      <w:r w:rsidRPr="002F29A2">
        <w:rPr>
          <w:rFonts w:ascii="Times New Roman" w:eastAsia="Times New Roman" w:hAnsi="Times New Roman" w:cs="Times New Roman"/>
          <w:sz w:val="24"/>
          <w:szCs w:val="24"/>
        </w:rPr>
        <w:t>) temporal variations in thallium inputs to the sediments; ii) sediment mixing by physical and biological processes; and iii) reactions that add thallium to or remove it from the sediment. Below, we examine the importance of sediment mixing and of reactions involving Tl in shaping the {Tl}-depth profiles.</w:t>
      </w:r>
    </w:p>
    <w:p w:rsidR="002F29A2" w:rsidRPr="002F29A2" w:rsidRDefault="002F29A2" w:rsidP="002F29A2">
      <w:pPr>
        <w:spacing w:before="100" w:beforeAutospacing="1" w:after="100" w:afterAutospacing="1" w:line="240" w:lineRule="auto"/>
        <w:outlineLvl w:val="1"/>
        <w:rPr>
          <w:rFonts w:ascii="Times New Roman" w:eastAsia="Times New Roman" w:hAnsi="Times New Roman" w:cs="Times New Roman"/>
          <w:b/>
          <w:bCs/>
          <w:sz w:val="36"/>
          <w:szCs w:val="36"/>
        </w:rPr>
      </w:pPr>
      <w:r w:rsidRPr="002F29A2">
        <w:rPr>
          <w:rFonts w:ascii="Times New Roman" w:eastAsia="Times New Roman" w:hAnsi="Times New Roman" w:cs="Times New Roman"/>
          <w:b/>
          <w:bCs/>
          <w:sz w:val="36"/>
          <w:szCs w:val="36"/>
        </w:rPr>
        <w:t>Conclusion</w:t>
      </w:r>
    </w:p>
    <w:p w:rsidR="002F29A2" w:rsidRPr="002F29A2" w:rsidRDefault="002F29A2" w:rsidP="002F29A2">
      <w:pPr>
        <w:spacing w:before="100" w:beforeAutospacing="1" w:after="100" w:afterAutospacing="1" w:line="240" w:lineRule="auto"/>
        <w:rPr>
          <w:rFonts w:ascii="Times New Roman" w:eastAsia="Times New Roman" w:hAnsi="Times New Roman" w:cs="Times New Roman"/>
          <w:sz w:val="24"/>
          <w:szCs w:val="24"/>
        </w:rPr>
      </w:pPr>
      <w:r w:rsidRPr="002F29A2">
        <w:rPr>
          <w:rFonts w:ascii="Times New Roman" w:eastAsia="Times New Roman" w:hAnsi="Times New Roman" w:cs="Times New Roman"/>
          <w:sz w:val="24"/>
          <w:szCs w:val="24"/>
        </w:rPr>
        <w:lastRenderedPageBreak/>
        <w:t>Diagenetic modeling in the sediments of two typical Canadian Shield lakes demonstrates that thallium presents a significant post-depositional mobility that must be taken into account in interpreting sedimentary Tl profiles. It also suggests that solid Fe sulfides are involved in Tl removal from porewaters by adsorption or coprecipitation. Our results point to coal burning and a metal smelter as major sources of atmospheric Tl.</w:t>
      </w:r>
    </w:p>
    <w:p w:rsidR="002F29A2" w:rsidRPr="002F29A2" w:rsidRDefault="002F29A2" w:rsidP="002F29A2">
      <w:pPr>
        <w:spacing w:before="100" w:beforeAutospacing="1" w:after="100" w:afterAutospacing="1" w:line="240" w:lineRule="auto"/>
        <w:outlineLvl w:val="1"/>
        <w:rPr>
          <w:rFonts w:ascii="Times New Roman" w:eastAsia="Times New Roman" w:hAnsi="Times New Roman" w:cs="Times New Roman"/>
          <w:b/>
          <w:bCs/>
          <w:sz w:val="36"/>
          <w:szCs w:val="36"/>
        </w:rPr>
      </w:pPr>
      <w:r w:rsidRPr="002F29A2">
        <w:rPr>
          <w:rFonts w:ascii="Times New Roman" w:eastAsia="Times New Roman" w:hAnsi="Times New Roman" w:cs="Times New Roman"/>
          <w:b/>
          <w:bCs/>
          <w:sz w:val="36"/>
          <w:szCs w:val="36"/>
        </w:rPr>
        <w:t>Acknowledgments</w:t>
      </w:r>
    </w:p>
    <w:p w:rsidR="002F29A2" w:rsidRPr="002F29A2" w:rsidRDefault="002F29A2" w:rsidP="002F29A2">
      <w:pPr>
        <w:spacing w:before="100" w:beforeAutospacing="1" w:after="100" w:afterAutospacing="1" w:line="240" w:lineRule="auto"/>
        <w:rPr>
          <w:rFonts w:ascii="Times New Roman" w:eastAsia="Times New Roman" w:hAnsi="Times New Roman" w:cs="Times New Roman"/>
          <w:sz w:val="24"/>
          <w:szCs w:val="24"/>
        </w:rPr>
      </w:pPr>
      <w:r w:rsidRPr="002F29A2">
        <w:rPr>
          <w:rFonts w:ascii="Times New Roman" w:eastAsia="Times New Roman" w:hAnsi="Times New Roman" w:cs="Times New Roman"/>
          <w:sz w:val="24"/>
          <w:szCs w:val="24"/>
        </w:rPr>
        <w:t xml:space="preserve">We thank L. </w:t>
      </w:r>
      <w:proofErr w:type="spellStart"/>
      <w:r w:rsidRPr="002F29A2">
        <w:rPr>
          <w:rFonts w:ascii="Times New Roman" w:eastAsia="Times New Roman" w:hAnsi="Times New Roman" w:cs="Times New Roman"/>
          <w:sz w:val="24"/>
          <w:szCs w:val="24"/>
        </w:rPr>
        <w:t>Rancourt</w:t>
      </w:r>
      <w:proofErr w:type="spellEnd"/>
      <w:r w:rsidRPr="002F29A2">
        <w:rPr>
          <w:rFonts w:ascii="Times New Roman" w:eastAsia="Times New Roman" w:hAnsi="Times New Roman" w:cs="Times New Roman"/>
          <w:sz w:val="24"/>
          <w:szCs w:val="24"/>
        </w:rPr>
        <w:t xml:space="preserve">, R. </w:t>
      </w:r>
      <w:proofErr w:type="spellStart"/>
      <w:r w:rsidRPr="002F29A2">
        <w:rPr>
          <w:rFonts w:ascii="Times New Roman" w:eastAsia="Times New Roman" w:hAnsi="Times New Roman" w:cs="Times New Roman"/>
          <w:sz w:val="24"/>
          <w:szCs w:val="24"/>
        </w:rPr>
        <w:t>Rodrigue</w:t>
      </w:r>
      <w:proofErr w:type="spellEnd"/>
      <w:r w:rsidRPr="002F29A2">
        <w:rPr>
          <w:rFonts w:ascii="Times New Roman" w:eastAsia="Times New Roman" w:hAnsi="Times New Roman" w:cs="Times New Roman"/>
          <w:sz w:val="24"/>
          <w:szCs w:val="24"/>
        </w:rPr>
        <w:t xml:space="preserve">, P. Marcoux, R. </w:t>
      </w:r>
      <w:proofErr w:type="spellStart"/>
      <w:r w:rsidRPr="002F29A2">
        <w:rPr>
          <w:rFonts w:ascii="Times New Roman" w:eastAsia="Times New Roman" w:hAnsi="Times New Roman" w:cs="Times New Roman"/>
          <w:sz w:val="24"/>
          <w:szCs w:val="24"/>
        </w:rPr>
        <w:t>Quirion</w:t>
      </w:r>
      <w:proofErr w:type="spellEnd"/>
      <w:r w:rsidRPr="002F29A2">
        <w:rPr>
          <w:rFonts w:ascii="Times New Roman" w:eastAsia="Times New Roman" w:hAnsi="Times New Roman" w:cs="Times New Roman"/>
          <w:sz w:val="24"/>
          <w:szCs w:val="24"/>
        </w:rPr>
        <w:t xml:space="preserve">, and C. Gallon for their technical assistance and L. Hare, R. Prairie and two anonymous reviewers for comments on the manuscript. Funding is acknowledged from the Natural Sciences and Engineering Research Council of Canada, Ontario Power Generating Company, the Mining Association of Canada, and the Fonds de Recherche sur la Nature et les Technologies du Québec. Permission from the Québec Ministry of the </w:t>
      </w:r>
      <w:proofErr w:type="spellStart"/>
      <w:r w:rsidRPr="002F29A2">
        <w:rPr>
          <w:rFonts w:ascii="Times New Roman" w:eastAsia="Times New Roman" w:hAnsi="Times New Roman" w:cs="Times New Roman"/>
          <w:sz w:val="24"/>
          <w:szCs w:val="24"/>
        </w:rPr>
        <w:t>Environnement</w:t>
      </w:r>
      <w:proofErr w:type="spellEnd"/>
      <w:r w:rsidRPr="002F29A2">
        <w:rPr>
          <w:rFonts w:ascii="Times New Roman" w:eastAsia="Times New Roman" w:hAnsi="Times New Roman" w:cs="Times New Roman"/>
          <w:sz w:val="24"/>
          <w:szCs w:val="24"/>
        </w:rPr>
        <w:t xml:space="preserve"> to work in the</w:t>
      </w:r>
    </w:p>
    <w:p w:rsidR="009217C0" w:rsidRDefault="009217C0"/>
    <w:sectPr w:rsidR="009217C0">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29A2"/>
    <w:rsid w:val="002F29A2"/>
    <w:rsid w:val="009217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3C9193"/>
  <w15:chartTrackingRefBased/>
  <w15:docId w15:val="{BF3DD91D-3085-4CB0-BC0C-31697B4BCC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67763442">
      <w:bodyDiv w:val="1"/>
      <w:marLeft w:val="0"/>
      <w:marRight w:val="0"/>
      <w:marTop w:val="0"/>
      <w:marBottom w:val="0"/>
      <w:divBdr>
        <w:top w:val="none" w:sz="0" w:space="0" w:color="auto"/>
        <w:left w:val="none" w:sz="0" w:space="0" w:color="auto"/>
        <w:bottom w:val="none" w:sz="0" w:space="0" w:color="auto"/>
        <w:right w:val="none" w:sz="0" w:space="0" w:color="auto"/>
      </w:divBdr>
      <w:divsChild>
        <w:div w:id="2085519019">
          <w:marLeft w:val="0"/>
          <w:marRight w:val="0"/>
          <w:marTop w:val="0"/>
          <w:marBottom w:val="0"/>
          <w:divBdr>
            <w:top w:val="none" w:sz="0" w:space="0" w:color="auto"/>
            <w:left w:val="none" w:sz="0" w:space="0" w:color="auto"/>
            <w:bottom w:val="none" w:sz="0" w:space="0" w:color="auto"/>
            <w:right w:val="none" w:sz="0" w:space="0" w:color="auto"/>
          </w:divBdr>
          <w:divsChild>
            <w:div w:id="445078868">
              <w:marLeft w:val="0"/>
              <w:marRight w:val="0"/>
              <w:marTop w:val="0"/>
              <w:marBottom w:val="0"/>
              <w:divBdr>
                <w:top w:val="none" w:sz="0" w:space="0" w:color="auto"/>
                <w:left w:val="none" w:sz="0" w:space="0" w:color="auto"/>
                <w:bottom w:val="none" w:sz="0" w:space="0" w:color="auto"/>
                <w:right w:val="none" w:sz="0" w:space="0" w:color="auto"/>
              </w:divBdr>
              <w:divsChild>
                <w:div w:id="1611663741">
                  <w:marLeft w:val="0"/>
                  <w:marRight w:val="0"/>
                  <w:marTop w:val="0"/>
                  <w:marBottom w:val="0"/>
                  <w:divBdr>
                    <w:top w:val="none" w:sz="0" w:space="0" w:color="auto"/>
                    <w:left w:val="none" w:sz="0" w:space="0" w:color="auto"/>
                    <w:bottom w:val="none" w:sz="0" w:space="0" w:color="auto"/>
                    <w:right w:val="none" w:sz="0" w:space="0" w:color="auto"/>
                  </w:divBdr>
                  <w:divsChild>
                    <w:div w:id="1161198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970326">
          <w:marLeft w:val="0"/>
          <w:marRight w:val="0"/>
          <w:marTop w:val="0"/>
          <w:marBottom w:val="0"/>
          <w:divBdr>
            <w:top w:val="none" w:sz="0" w:space="0" w:color="auto"/>
            <w:left w:val="none" w:sz="0" w:space="0" w:color="auto"/>
            <w:bottom w:val="none" w:sz="0" w:space="0" w:color="auto"/>
            <w:right w:val="none" w:sz="0" w:space="0" w:color="auto"/>
          </w:divBdr>
          <w:divsChild>
            <w:div w:id="864713694">
              <w:marLeft w:val="0"/>
              <w:marRight w:val="0"/>
              <w:marTop w:val="0"/>
              <w:marBottom w:val="0"/>
              <w:divBdr>
                <w:top w:val="none" w:sz="0" w:space="0" w:color="auto"/>
                <w:left w:val="none" w:sz="0" w:space="0" w:color="auto"/>
                <w:bottom w:val="none" w:sz="0" w:space="0" w:color="auto"/>
                <w:right w:val="none" w:sz="0" w:space="0" w:color="auto"/>
              </w:divBdr>
              <w:divsChild>
                <w:div w:id="1935018636">
                  <w:marLeft w:val="0"/>
                  <w:marRight w:val="0"/>
                  <w:marTop w:val="0"/>
                  <w:marBottom w:val="0"/>
                  <w:divBdr>
                    <w:top w:val="none" w:sz="0" w:space="0" w:color="auto"/>
                    <w:left w:val="none" w:sz="0" w:space="0" w:color="auto"/>
                    <w:bottom w:val="none" w:sz="0" w:space="0" w:color="auto"/>
                    <w:right w:val="none" w:sz="0" w:space="0" w:color="auto"/>
                  </w:divBdr>
                  <w:divsChild>
                    <w:div w:id="278731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5787977">
          <w:marLeft w:val="0"/>
          <w:marRight w:val="0"/>
          <w:marTop w:val="0"/>
          <w:marBottom w:val="0"/>
          <w:divBdr>
            <w:top w:val="none" w:sz="0" w:space="0" w:color="auto"/>
            <w:left w:val="none" w:sz="0" w:space="0" w:color="auto"/>
            <w:bottom w:val="none" w:sz="0" w:space="0" w:color="auto"/>
            <w:right w:val="none" w:sz="0" w:space="0" w:color="auto"/>
          </w:divBdr>
          <w:divsChild>
            <w:div w:id="2129539870">
              <w:marLeft w:val="0"/>
              <w:marRight w:val="0"/>
              <w:marTop w:val="0"/>
              <w:marBottom w:val="0"/>
              <w:divBdr>
                <w:top w:val="none" w:sz="0" w:space="0" w:color="auto"/>
                <w:left w:val="none" w:sz="0" w:space="0" w:color="auto"/>
                <w:bottom w:val="none" w:sz="0" w:space="0" w:color="auto"/>
                <w:right w:val="none" w:sz="0" w:space="0" w:color="auto"/>
              </w:divBdr>
            </w:div>
          </w:divsChild>
        </w:div>
        <w:div w:id="2115663769">
          <w:marLeft w:val="0"/>
          <w:marRight w:val="0"/>
          <w:marTop w:val="0"/>
          <w:marBottom w:val="0"/>
          <w:divBdr>
            <w:top w:val="none" w:sz="0" w:space="0" w:color="auto"/>
            <w:left w:val="none" w:sz="0" w:space="0" w:color="auto"/>
            <w:bottom w:val="none" w:sz="0" w:space="0" w:color="auto"/>
            <w:right w:val="none" w:sz="0" w:space="0" w:color="auto"/>
          </w:divBdr>
          <w:divsChild>
            <w:div w:id="667445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remobilization"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sciencedirect.com/topics/earth-and-planetary-sciences/atmospheric-deposition"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porewater" TargetMode="External"/><Relationship Id="rId11" Type="http://schemas.openxmlformats.org/officeDocument/2006/relationships/hyperlink" Target="https://www.sciencedirect.com/topics/earth-and-planetary-sciences/coal-combustion" TargetMode="External"/><Relationship Id="rId5" Type="http://schemas.openxmlformats.org/officeDocument/2006/relationships/hyperlink" Target="https://www.sciencedirect.com/topics/earth-and-planetary-sciences/sediment-core" TargetMode="External"/><Relationship Id="rId10" Type="http://schemas.openxmlformats.org/officeDocument/2006/relationships/hyperlink" Target="https://www.sciencedirect.com/topics/earth-and-planetary-sciences/surficial-sediment" TargetMode="External"/><Relationship Id="rId4" Type="http://schemas.openxmlformats.org/officeDocument/2006/relationships/hyperlink" Target="https://doi.org/10.1016/j.gca.2005.06.006" TargetMode="External"/><Relationship Id="rId9" Type="http://schemas.openxmlformats.org/officeDocument/2006/relationships/hyperlink" Target="https://www.sciencedirect.com/topics/earth-and-planetary-sciences/hypolimn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1260</Words>
  <Characters>7183</Characters>
  <Application>Microsoft Office Word</Application>
  <DocSecurity>0</DocSecurity>
  <Lines>59</Lines>
  <Paragraphs>16</Paragraphs>
  <ScaleCrop>false</ScaleCrop>
  <Company/>
  <LinksUpToDate>false</LinksUpToDate>
  <CharactersWithSpaces>8427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2023-11-11T04:39:00Z</dcterms:created>
  <dcterms:modified xsi:type="dcterms:W3CDTF">2023-11-11T04:40:00Z</dcterms:modified>
</cp:coreProperties>
</file>