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FC406E" w:rsidRPr="00FC406E" w:rsidRDefault="00FC406E" w:rsidP="00FC406E">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FC406E">
        <w:rPr>
          <w:rFonts w:ascii="Times New Roman" w:eastAsia="Times New Roman" w:hAnsi="Times New Roman" w:cs="Times New Roman"/>
          <w:b/>
          <w:bCs/>
          <w:kern w:val="36"/>
          <w:sz w:val="48"/>
          <w:szCs w:val="48"/>
        </w:rPr>
        <w:t>Effects of temperature and transport conditions on calcite growth in the presence of Mg</w:t>
      </w:r>
      <w:r w:rsidRPr="00FC406E">
        <w:rPr>
          <w:rFonts w:ascii="Times New Roman" w:eastAsia="Times New Roman" w:hAnsi="Times New Roman" w:cs="Times New Roman"/>
          <w:b/>
          <w:bCs/>
          <w:kern w:val="36"/>
          <w:sz w:val="48"/>
          <w:szCs w:val="48"/>
          <w:vertAlign w:val="superscript"/>
        </w:rPr>
        <w:t>2+</w:t>
      </w:r>
      <w:r w:rsidRPr="00FC406E">
        <w:rPr>
          <w:rFonts w:ascii="Times New Roman" w:eastAsia="Times New Roman" w:hAnsi="Times New Roman" w:cs="Times New Roman"/>
          <w:b/>
          <w:bCs/>
          <w:kern w:val="36"/>
          <w:sz w:val="48"/>
          <w:szCs w:val="48"/>
        </w:rPr>
        <w:t xml:space="preserve">: Implications for </w:t>
      </w:r>
      <w:proofErr w:type="spellStart"/>
      <w:r w:rsidRPr="00FC406E">
        <w:rPr>
          <w:rFonts w:ascii="Times New Roman" w:eastAsia="Times New Roman" w:hAnsi="Times New Roman" w:cs="Times New Roman"/>
          <w:b/>
          <w:bCs/>
          <w:kern w:val="36"/>
          <w:sz w:val="48"/>
          <w:szCs w:val="48"/>
        </w:rPr>
        <w:t>paleothermometry</w:t>
      </w:r>
      <w:proofErr w:type="spellEnd"/>
    </w:p>
    <w:p w:rsidR="00FC406E" w:rsidRPr="00FC406E" w:rsidRDefault="00FC406E" w:rsidP="00FC406E">
      <w:pPr>
        <w:spacing w:after="0" w:line="240" w:lineRule="auto"/>
        <w:rPr>
          <w:rFonts w:ascii="Times New Roman" w:eastAsia="Times New Roman" w:hAnsi="Times New Roman" w:cs="Times New Roman"/>
          <w:sz w:val="24"/>
          <w:szCs w:val="24"/>
        </w:rPr>
      </w:pPr>
      <w:r w:rsidRPr="00FC406E">
        <w:rPr>
          <w:rFonts w:ascii="Times New Roman" w:eastAsia="Times New Roman" w:hAnsi="Times New Roman" w:cs="Times New Roman"/>
          <w:sz w:val="24"/>
          <w:szCs w:val="24"/>
        </w:rPr>
        <w:t>Author links open overlay panel</w:t>
      </w:r>
    </w:p>
    <w:p w:rsidR="00FC406E" w:rsidRPr="00FC406E" w:rsidRDefault="00FC406E" w:rsidP="00FC406E">
      <w:pPr>
        <w:spacing w:after="0" w:line="240" w:lineRule="auto"/>
        <w:rPr>
          <w:rFonts w:ascii="Times New Roman" w:eastAsia="Times New Roman" w:hAnsi="Times New Roman" w:cs="Times New Roman"/>
          <w:sz w:val="24"/>
          <w:szCs w:val="24"/>
        </w:rPr>
      </w:pPr>
      <w:r w:rsidRPr="00FC406E">
        <w:rPr>
          <w:rFonts w:ascii="Times New Roman" w:eastAsia="Times New Roman" w:hAnsi="Times New Roman" w:cs="Times New Roman"/>
          <w:sz w:val="24"/>
          <w:szCs w:val="24"/>
        </w:rPr>
        <w:t xml:space="preserve">, , </w:t>
      </w:r>
    </w:p>
    <w:p w:rsidR="00FC406E" w:rsidRPr="00FC406E" w:rsidRDefault="00FC406E" w:rsidP="00FC406E">
      <w:pPr>
        <w:spacing w:after="0" w:line="240" w:lineRule="auto"/>
        <w:rPr>
          <w:rFonts w:ascii="Times New Roman" w:eastAsia="Times New Roman" w:hAnsi="Times New Roman" w:cs="Times New Roman"/>
          <w:sz w:val="24"/>
          <w:szCs w:val="24"/>
        </w:rPr>
      </w:pPr>
      <w:hyperlink r:id="rId4" w:tgtFrame="_blank" w:tooltip="Persistent link using digital object identifier" w:history="1">
        <w:r w:rsidRPr="00FC406E">
          <w:rPr>
            <w:rFonts w:ascii="Times New Roman" w:eastAsia="Times New Roman" w:hAnsi="Times New Roman" w:cs="Times New Roman"/>
            <w:color w:val="0000FF"/>
            <w:sz w:val="24"/>
            <w:szCs w:val="24"/>
            <w:u w:val="single"/>
          </w:rPr>
          <w:t>https://doi.org/10.1016/j.gca.2005.04.006</w:t>
        </w:r>
      </w:hyperlink>
      <w:bookmarkStart w:id="0" w:name="_GoBack"/>
      <w:bookmarkEnd w:id="0"/>
      <w:r w:rsidRPr="00FC406E">
        <w:rPr>
          <w:rFonts w:ascii="Times New Roman" w:eastAsia="Times New Roman" w:hAnsi="Times New Roman" w:cs="Times New Roman"/>
          <w:sz w:val="24"/>
          <w:szCs w:val="24"/>
        </w:rPr>
        <w:t xml:space="preserve"> </w:t>
      </w:r>
    </w:p>
    <w:p w:rsidR="00FC406E" w:rsidRPr="00FC406E" w:rsidRDefault="00FC406E" w:rsidP="00FC406E">
      <w:pPr>
        <w:spacing w:before="100" w:beforeAutospacing="1" w:after="100" w:afterAutospacing="1" w:line="240" w:lineRule="auto"/>
        <w:outlineLvl w:val="1"/>
        <w:rPr>
          <w:rFonts w:ascii="Times New Roman" w:eastAsia="Times New Roman" w:hAnsi="Times New Roman" w:cs="Times New Roman"/>
          <w:b/>
          <w:bCs/>
          <w:sz w:val="36"/>
          <w:szCs w:val="36"/>
        </w:rPr>
      </w:pPr>
      <w:r w:rsidRPr="00FC406E">
        <w:rPr>
          <w:rFonts w:ascii="Times New Roman" w:eastAsia="Times New Roman" w:hAnsi="Times New Roman" w:cs="Times New Roman"/>
          <w:b/>
          <w:bCs/>
          <w:sz w:val="36"/>
          <w:szCs w:val="36"/>
        </w:rPr>
        <w:t>Abstract</w:t>
      </w:r>
    </w:p>
    <w:p w:rsidR="00FC406E" w:rsidRPr="00FC406E" w:rsidRDefault="00FC406E" w:rsidP="00FC406E">
      <w:pPr>
        <w:spacing w:before="100" w:beforeAutospacing="1" w:after="100" w:afterAutospacing="1" w:line="240" w:lineRule="auto"/>
        <w:rPr>
          <w:rFonts w:ascii="Times New Roman" w:eastAsia="Times New Roman" w:hAnsi="Times New Roman" w:cs="Times New Roman"/>
          <w:sz w:val="24"/>
          <w:szCs w:val="24"/>
        </w:rPr>
      </w:pPr>
      <w:r w:rsidRPr="00FC406E">
        <w:rPr>
          <w:rFonts w:ascii="Times New Roman" w:eastAsia="Times New Roman" w:hAnsi="Times New Roman" w:cs="Times New Roman"/>
          <w:sz w:val="24"/>
          <w:szCs w:val="24"/>
        </w:rPr>
        <w:t xml:space="preserve">This study links direct measurement of Mg-calcite growth kinetics with high-spatial-resolution analysis of Mg contents in experimental crystals, with particular attention to the effects of temperature on growth rate and reactant transport conditions on Mg distribution. In contrast to previous experiments on Mg partitioning into calcite, here the layer-growth mechanism was observed in situ and step speeds precisely measured with fluid cell </w:t>
      </w:r>
      <w:hyperlink r:id="rId5" w:tooltip="Learn more about atomic force microscopy from ScienceDirect's AI-generated Topic Pages" w:history="1">
        <w:r w:rsidRPr="00FC406E">
          <w:rPr>
            <w:rFonts w:ascii="Times New Roman" w:eastAsia="Times New Roman" w:hAnsi="Times New Roman" w:cs="Times New Roman"/>
            <w:color w:val="0000FF"/>
            <w:sz w:val="24"/>
            <w:szCs w:val="24"/>
            <w:u w:val="single"/>
          </w:rPr>
          <w:t>atomic force microscopy</w:t>
        </w:r>
      </w:hyperlink>
      <w:r w:rsidRPr="00FC406E">
        <w:rPr>
          <w:rFonts w:ascii="Times New Roman" w:eastAsia="Times New Roman" w:hAnsi="Times New Roman" w:cs="Times New Roman"/>
          <w:sz w:val="24"/>
          <w:szCs w:val="24"/>
        </w:rPr>
        <w:t xml:space="preserve"> over a range of temperatures, degrees of </w:t>
      </w:r>
      <w:hyperlink r:id="rId6" w:tooltip="Learn more about supersaturation from ScienceDirect's AI-generated Topic Pages" w:history="1">
        <w:r w:rsidRPr="00FC406E">
          <w:rPr>
            <w:rFonts w:ascii="Times New Roman" w:eastAsia="Times New Roman" w:hAnsi="Times New Roman" w:cs="Times New Roman"/>
            <w:color w:val="0000FF"/>
            <w:sz w:val="24"/>
            <w:szCs w:val="24"/>
            <w:u w:val="single"/>
          </w:rPr>
          <w:t>supersaturation</w:t>
        </w:r>
      </w:hyperlink>
      <w:r w:rsidRPr="00FC406E">
        <w:rPr>
          <w:rFonts w:ascii="Times New Roman" w:eastAsia="Times New Roman" w:hAnsi="Times New Roman" w:cs="Times New Roman"/>
          <w:sz w:val="24"/>
          <w:szCs w:val="24"/>
        </w:rPr>
        <w:t>, and solution Mg concentrations. Data collected from 15° to 30°C yield an activation energy for calcite precipitation of 33 kJ/mol for solutions with [Mg] = 5 × 10</w:t>
      </w:r>
      <w:r w:rsidRPr="00FC406E">
        <w:rPr>
          <w:rFonts w:ascii="Times New Roman" w:eastAsia="Times New Roman" w:hAnsi="Times New Roman" w:cs="Times New Roman"/>
          <w:sz w:val="24"/>
          <w:szCs w:val="24"/>
          <w:vertAlign w:val="superscript"/>
        </w:rPr>
        <w:t>−5</w:t>
      </w:r>
      <w:r w:rsidRPr="00FC406E">
        <w:rPr>
          <w:rFonts w:ascii="Times New Roman" w:eastAsia="Times New Roman" w:hAnsi="Times New Roman" w:cs="Times New Roman"/>
          <w:sz w:val="24"/>
          <w:szCs w:val="24"/>
        </w:rPr>
        <w:t xml:space="preserve"> </w:t>
      </w:r>
      <w:proofErr w:type="spellStart"/>
      <w:r w:rsidRPr="00FC406E">
        <w:rPr>
          <w:rFonts w:ascii="Times New Roman" w:eastAsia="Times New Roman" w:hAnsi="Times New Roman" w:cs="Times New Roman"/>
          <w:sz w:val="24"/>
          <w:szCs w:val="24"/>
        </w:rPr>
        <w:t>molal</w:t>
      </w:r>
      <w:proofErr w:type="spellEnd"/>
      <w:r w:rsidRPr="00FC406E">
        <w:rPr>
          <w:rFonts w:ascii="Times New Roman" w:eastAsia="Times New Roman" w:hAnsi="Times New Roman" w:cs="Times New Roman"/>
          <w:sz w:val="24"/>
          <w:szCs w:val="24"/>
        </w:rPr>
        <w:t xml:space="preserve">. </w:t>
      </w:r>
      <w:hyperlink r:id="rId7" w:tooltip="Learn more about Electron microprobe from ScienceDirect's AI-generated Topic Pages" w:history="1">
        <w:r w:rsidRPr="00FC406E">
          <w:rPr>
            <w:rFonts w:ascii="Times New Roman" w:eastAsia="Times New Roman" w:hAnsi="Times New Roman" w:cs="Times New Roman"/>
            <w:color w:val="0000FF"/>
            <w:sz w:val="24"/>
            <w:szCs w:val="24"/>
            <w:u w:val="single"/>
          </w:rPr>
          <w:t>Electron microprobe</w:t>
        </w:r>
      </w:hyperlink>
      <w:r w:rsidRPr="00FC406E">
        <w:rPr>
          <w:rFonts w:ascii="Times New Roman" w:eastAsia="Times New Roman" w:hAnsi="Times New Roman" w:cs="Times New Roman"/>
          <w:sz w:val="24"/>
          <w:szCs w:val="24"/>
        </w:rPr>
        <w:t xml:space="preserve"> analyses of large hillocks grown at corresponding conditions demonstrate that Mg has a strong preference for incorporation at negative (acute) step edges, rather than at positive (obtuse) edges when growth rate is limited by surface reactions. This preference is reversed when growth is instead limited by diffusion of reactants through a boundary layer at the mineral-solution interface. These findings show that temperature is not the only strong control on the extent of Mg incorporation and distribution in calcite; transport conditions during mineral growth may also be a first-order factor governing the compositions of natural calcite samples.</w:t>
      </w:r>
    </w:p>
    <w:p w:rsidR="00FC406E" w:rsidRPr="00FC406E" w:rsidRDefault="00FC406E" w:rsidP="00FC406E">
      <w:pPr>
        <w:spacing w:before="100" w:beforeAutospacing="1" w:after="100" w:afterAutospacing="1" w:line="240" w:lineRule="auto"/>
        <w:outlineLvl w:val="1"/>
        <w:rPr>
          <w:rFonts w:ascii="Times New Roman" w:eastAsia="Times New Roman" w:hAnsi="Times New Roman" w:cs="Times New Roman"/>
          <w:b/>
          <w:bCs/>
          <w:sz w:val="36"/>
          <w:szCs w:val="36"/>
        </w:rPr>
      </w:pPr>
      <w:r w:rsidRPr="00FC406E">
        <w:rPr>
          <w:rFonts w:ascii="Times New Roman" w:eastAsia="Times New Roman" w:hAnsi="Times New Roman" w:cs="Times New Roman"/>
          <w:b/>
          <w:bCs/>
          <w:sz w:val="36"/>
          <w:szCs w:val="36"/>
        </w:rPr>
        <w:t>Introduction</w:t>
      </w:r>
    </w:p>
    <w:p w:rsidR="00FC406E" w:rsidRPr="00FC406E" w:rsidRDefault="00FC406E" w:rsidP="00FC406E">
      <w:pPr>
        <w:spacing w:before="100" w:beforeAutospacing="1" w:after="100" w:afterAutospacing="1" w:line="240" w:lineRule="auto"/>
        <w:rPr>
          <w:rFonts w:ascii="Times New Roman" w:eastAsia="Times New Roman" w:hAnsi="Times New Roman" w:cs="Times New Roman"/>
          <w:sz w:val="24"/>
          <w:szCs w:val="24"/>
        </w:rPr>
      </w:pPr>
      <w:r w:rsidRPr="00FC406E">
        <w:rPr>
          <w:rFonts w:ascii="Times New Roman" w:eastAsia="Times New Roman" w:hAnsi="Times New Roman" w:cs="Times New Roman"/>
          <w:sz w:val="24"/>
          <w:szCs w:val="24"/>
        </w:rPr>
        <w:t>Calcium carbonates are the most abundant of the biogenic minerals, both in terms of quantities produced and widespread distributions across taxa (</w:t>
      </w:r>
      <w:proofErr w:type="spellStart"/>
      <w:r w:rsidRPr="00FC406E">
        <w:rPr>
          <w:rFonts w:ascii="Times New Roman" w:eastAsia="Times New Roman" w:hAnsi="Times New Roman" w:cs="Times New Roman"/>
          <w:sz w:val="24"/>
          <w:szCs w:val="24"/>
        </w:rPr>
        <w:t>Lowenstam</w:t>
      </w:r>
      <w:proofErr w:type="spellEnd"/>
      <w:r w:rsidRPr="00FC406E">
        <w:rPr>
          <w:rFonts w:ascii="Times New Roman" w:eastAsia="Times New Roman" w:hAnsi="Times New Roman" w:cs="Times New Roman"/>
          <w:sz w:val="24"/>
          <w:szCs w:val="24"/>
        </w:rPr>
        <w:t xml:space="preserve"> and Weiner, 1989). Marine algae, whose predominant mineral product is calcite, contain </w:t>
      </w:r>
      <w:r w:rsidRPr="00FC406E">
        <w:rPr>
          <w:rFonts w:ascii="Cambria Math" w:eastAsia="Times New Roman" w:hAnsi="Cambria Math" w:cs="Cambria Math"/>
          <w:sz w:val="24"/>
          <w:szCs w:val="24"/>
        </w:rPr>
        <w:t>∼</w:t>
      </w:r>
      <w:r w:rsidRPr="00FC406E">
        <w:rPr>
          <w:rFonts w:ascii="Times New Roman" w:eastAsia="Times New Roman" w:hAnsi="Times New Roman" w:cs="Times New Roman"/>
          <w:sz w:val="24"/>
          <w:szCs w:val="24"/>
        </w:rPr>
        <w:t>3 × 10</w:t>
      </w:r>
      <w:r w:rsidRPr="00FC406E">
        <w:rPr>
          <w:rFonts w:ascii="Times New Roman" w:eastAsia="Times New Roman" w:hAnsi="Times New Roman" w:cs="Times New Roman"/>
          <w:sz w:val="24"/>
          <w:szCs w:val="24"/>
          <w:vertAlign w:val="superscript"/>
        </w:rPr>
        <w:t>15</w:t>
      </w:r>
      <w:r w:rsidRPr="00FC406E">
        <w:rPr>
          <w:rFonts w:ascii="Times New Roman" w:eastAsia="Times New Roman" w:hAnsi="Times New Roman" w:cs="Times New Roman"/>
          <w:sz w:val="24"/>
          <w:szCs w:val="24"/>
        </w:rPr>
        <w:t xml:space="preserve"> grams of carbon (Van </w:t>
      </w:r>
      <w:proofErr w:type="spellStart"/>
      <w:r w:rsidRPr="00FC406E">
        <w:rPr>
          <w:rFonts w:ascii="Times New Roman" w:eastAsia="Times New Roman" w:hAnsi="Times New Roman" w:cs="Times New Roman"/>
          <w:sz w:val="24"/>
          <w:szCs w:val="24"/>
        </w:rPr>
        <w:t>Cappellen</w:t>
      </w:r>
      <w:proofErr w:type="spellEnd"/>
      <w:r w:rsidRPr="00FC406E">
        <w:rPr>
          <w:rFonts w:ascii="Times New Roman" w:eastAsia="Times New Roman" w:hAnsi="Times New Roman" w:cs="Times New Roman"/>
          <w:sz w:val="24"/>
          <w:szCs w:val="24"/>
        </w:rPr>
        <w:t>, 2003) and are thus a significant reservoir in the global cycle of carbon. Although much of the calcite dissolves in the water column or on the seafloor, some is permanently buried as sediment. This is the dominant mechanism by which CO</w:t>
      </w:r>
      <w:r w:rsidRPr="00FC406E">
        <w:rPr>
          <w:rFonts w:ascii="Times New Roman" w:eastAsia="Times New Roman" w:hAnsi="Times New Roman" w:cs="Times New Roman"/>
          <w:sz w:val="24"/>
          <w:szCs w:val="24"/>
          <w:vertAlign w:val="subscript"/>
        </w:rPr>
        <w:t>2</w:t>
      </w:r>
      <w:r w:rsidRPr="00FC406E">
        <w:rPr>
          <w:rFonts w:ascii="Times New Roman" w:eastAsia="Times New Roman" w:hAnsi="Times New Roman" w:cs="Times New Roman"/>
          <w:sz w:val="24"/>
          <w:szCs w:val="24"/>
        </w:rPr>
        <w:t xml:space="preserve"> is removed from the atmosphere-ocean system to long-term storage in carbonate rocks (Berner, 1990; Van </w:t>
      </w:r>
      <w:proofErr w:type="spellStart"/>
      <w:r w:rsidRPr="00FC406E">
        <w:rPr>
          <w:rFonts w:ascii="Times New Roman" w:eastAsia="Times New Roman" w:hAnsi="Times New Roman" w:cs="Times New Roman"/>
          <w:sz w:val="24"/>
          <w:szCs w:val="24"/>
        </w:rPr>
        <w:t>Cappellen</w:t>
      </w:r>
      <w:proofErr w:type="spellEnd"/>
      <w:r w:rsidRPr="00FC406E">
        <w:rPr>
          <w:rFonts w:ascii="Times New Roman" w:eastAsia="Times New Roman" w:hAnsi="Times New Roman" w:cs="Times New Roman"/>
          <w:sz w:val="24"/>
          <w:szCs w:val="24"/>
        </w:rPr>
        <w:t xml:space="preserve">, 2003). </w:t>
      </w:r>
      <w:proofErr w:type="gramStart"/>
      <w:r w:rsidRPr="00FC406E">
        <w:rPr>
          <w:rFonts w:ascii="Times New Roman" w:eastAsia="Times New Roman" w:hAnsi="Times New Roman" w:cs="Times New Roman"/>
          <w:sz w:val="24"/>
          <w:szCs w:val="24"/>
        </w:rPr>
        <w:t>Thus</w:t>
      </w:r>
      <w:proofErr w:type="gramEnd"/>
      <w:r w:rsidRPr="00FC406E">
        <w:rPr>
          <w:rFonts w:ascii="Times New Roman" w:eastAsia="Times New Roman" w:hAnsi="Times New Roman" w:cs="Times New Roman"/>
          <w:sz w:val="24"/>
          <w:szCs w:val="24"/>
        </w:rPr>
        <w:t xml:space="preserve"> biogenic calcite plays a significant role in global climate control, and the response of the marine biomass to changing conditions is of great consequence.</w:t>
      </w:r>
    </w:p>
    <w:p w:rsidR="00FC406E" w:rsidRPr="00FC406E" w:rsidRDefault="00FC406E" w:rsidP="00FC406E">
      <w:pPr>
        <w:spacing w:before="100" w:beforeAutospacing="1" w:after="100" w:afterAutospacing="1" w:line="240" w:lineRule="auto"/>
        <w:rPr>
          <w:rFonts w:ascii="Times New Roman" w:eastAsia="Times New Roman" w:hAnsi="Times New Roman" w:cs="Times New Roman"/>
          <w:sz w:val="24"/>
          <w:szCs w:val="24"/>
        </w:rPr>
      </w:pPr>
      <w:r w:rsidRPr="00FC406E">
        <w:rPr>
          <w:rFonts w:ascii="Times New Roman" w:eastAsia="Times New Roman" w:hAnsi="Times New Roman" w:cs="Times New Roman"/>
          <w:sz w:val="24"/>
          <w:szCs w:val="24"/>
        </w:rPr>
        <w:t>During the growth of biogenic calcite, mineral crystals incorporate impurities, the concentrations of which appear to correlate with environmental conditions of growth for modern organisms (</w:t>
      </w:r>
      <w:proofErr w:type="spellStart"/>
      <w:r w:rsidRPr="00FC406E">
        <w:rPr>
          <w:rFonts w:ascii="Times New Roman" w:eastAsia="Times New Roman" w:hAnsi="Times New Roman" w:cs="Times New Roman"/>
          <w:sz w:val="24"/>
          <w:szCs w:val="24"/>
        </w:rPr>
        <w:t>Chave</w:t>
      </w:r>
      <w:proofErr w:type="spellEnd"/>
      <w:r w:rsidRPr="00FC406E">
        <w:rPr>
          <w:rFonts w:ascii="Times New Roman" w:eastAsia="Times New Roman" w:hAnsi="Times New Roman" w:cs="Times New Roman"/>
          <w:sz w:val="24"/>
          <w:szCs w:val="24"/>
        </w:rPr>
        <w:t xml:space="preserve">, 1954; Dodd, 1965; Katz, 1973; </w:t>
      </w:r>
      <w:proofErr w:type="spellStart"/>
      <w:r w:rsidRPr="00FC406E">
        <w:rPr>
          <w:rFonts w:ascii="Times New Roman" w:eastAsia="Times New Roman" w:hAnsi="Times New Roman" w:cs="Times New Roman"/>
          <w:sz w:val="24"/>
          <w:szCs w:val="24"/>
        </w:rPr>
        <w:t>Savin</w:t>
      </w:r>
      <w:proofErr w:type="spellEnd"/>
      <w:r w:rsidRPr="00FC406E">
        <w:rPr>
          <w:rFonts w:ascii="Times New Roman" w:eastAsia="Times New Roman" w:hAnsi="Times New Roman" w:cs="Times New Roman"/>
          <w:sz w:val="24"/>
          <w:szCs w:val="24"/>
        </w:rPr>
        <w:t xml:space="preserve"> and Douglas, 1973; </w:t>
      </w:r>
      <w:proofErr w:type="spellStart"/>
      <w:r w:rsidRPr="00FC406E">
        <w:rPr>
          <w:rFonts w:ascii="Times New Roman" w:eastAsia="Times New Roman" w:hAnsi="Times New Roman" w:cs="Times New Roman"/>
          <w:sz w:val="24"/>
          <w:szCs w:val="24"/>
        </w:rPr>
        <w:t>Füchtbauer</w:t>
      </w:r>
      <w:proofErr w:type="spellEnd"/>
      <w:r w:rsidRPr="00FC406E">
        <w:rPr>
          <w:rFonts w:ascii="Times New Roman" w:eastAsia="Times New Roman" w:hAnsi="Times New Roman" w:cs="Times New Roman"/>
          <w:sz w:val="24"/>
          <w:szCs w:val="24"/>
        </w:rPr>
        <w:t xml:space="preserve"> and Hardie, 1976; </w:t>
      </w:r>
      <w:proofErr w:type="spellStart"/>
      <w:r w:rsidRPr="00FC406E">
        <w:rPr>
          <w:rFonts w:ascii="Times New Roman" w:eastAsia="Times New Roman" w:hAnsi="Times New Roman" w:cs="Times New Roman"/>
          <w:sz w:val="24"/>
          <w:szCs w:val="24"/>
        </w:rPr>
        <w:t>Cronblad</w:t>
      </w:r>
      <w:proofErr w:type="spellEnd"/>
      <w:r w:rsidRPr="00FC406E">
        <w:rPr>
          <w:rFonts w:ascii="Times New Roman" w:eastAsia="Times New Roman" w:hAnsi="Times New Roman" w:cs="Times New Roman"/>
          <w:sz w:val="24"/>
          <w:szCs w:val="24"/>
        </w:rPr>
        <w:t xml:space="preserve"> and </w:t>
      </w:r>
      <w:proofErr w:type="spellStart"/>
      <w:r w:rsidRPr="00FC406E">
        <w:rPr>
          <w:rFonts w:ascii="Times New Roman" w:eastAsia="Times New Roman" w:hAnsi="Times New Roman" w:cs="Times New Roman"/>
          <w:sz w:val="24"/>
          <w:szCs w:val="24"/>
        </w:rPr>
        <w:t>Malmgren</w:t>
      </w:r>
      <w:proofErr w:type="spellEnd"/>
      <w:r w:rsidRPr="00FC406E">
        <w:rPr>
          <w:rFonts w:ascii="Times New Roman" w:eastAsia="Times New Roman" w:hAnsi="Times New Roman" w:cs="Times New Roman"/>
          <w:sz w:val="24"/>
          <w:szCs w:val="24"/>
        </w:rPr>
        <w:t xml:space="preserve">, 1981; Burton and Walter, 1987; </w:t>
      </w:r>
      <w:proofErr w:type="spellStart"/>
      <w:r w:rsidRPr="00FC406E">
        <w:rPr>
          <w:rFonts w:ascii="Times New Roman" w:eastAsia="Times New Roman" w:hAnsi="Times New Roman" w:cs="Times New Roman"/>
          <w:sz w:val="24"/>
          <w:szCs w:val="24"/>
        </w:rPr>
        <w:t>Mucci</w:t>
      </w:r>
      <w:proofErr w:type="spellEnd"/>
      <w:r w:rsidRPr="00FC406E">
        <w:rPr>
          <w:rFonts w:ascii="Times New Roman" w:eastAsia="Times New Roman" w:hAnsi="Times New Roman" w:cs="Times New Roman"/>
          <w:sz w:val="24"/>
          <w:szCs w:val="24"/>
        </w:rPr>
        <w:t xml:space="preserve">, 1987; Oomori et al., 1987; </w:t>
      </w:r>
      <w:proofErr w:type="spellStart"/>
      <w:r w:rsidRPr="00FC406E">
        <w:rPr>
          <w:rFonts w:ascii="Times New Roman" w:eastAsia="Times New Roman" w:hAnsi="Times New Roman" w:cs="Times New Roman"/>
          <w:sz w:val="24"/>
          <w:szCs w:val="24"/>
        </w:rPr>
        <w:t>Nürnberg</w:t>
      </w:r>
      <w:proofErr w:type="spellEnd"/>
      <w:r w:rsidRPr="00FC406E">
        <w:rPr>
          <w:rFonts w:ascii="Times New Roman" w:eastAsia="Times New Roman" w:hAnsi="Times New Roman" w:cs="Times New Roman"/>
          <w:sz w:val="24"/>
          <w:szCs w:val="24"/>
        </w:rPr>
        <w:t xml:space="preserve"> et al., 1996; Rosenthal et al., 1997; Lea, 1999; </w:t>
      </w:r>
      <w:proofErr w:type="spellStart"/>
      <w:r w:rsidRPr="00FC406E">
        <w:rPr>
          <w:rFonts w:ascii="Times New Roman" w:eastAsia="Times New Roman" w:hAnsi="Times New Roman" w:cs="Times New Roman"/>
          <w:sz w:val="24"/>
          <w:szCs w:val="24"/>
        </w:rPr>
        <w:t>Elderfield</w:t>
      </w:r>
      <w:proofErr w:type="spellEnd"/>
      <w:r w:rsidRPr="00FC406E">
        <w:rPr>
          <w:rFonts w:ascii="Times New Roman" w:eastAsia="Times New Roman" w:hAnsi="Times New Roman" w:cs="Times New Roman"/>
          <w:sz w:val="24"/>
          <w:szCs w:val="24"/>
        </w:rPr>
        <w:t xml:space="preserve"> and </w:t>
      </w:r>
      <w:proofErr w:type="spellStart"/>
      <w:r w:rsidRPr="00FC406E">
        <w:rPr>
          <w:rFonts w:ascii="Times New Roman" w:eastAsia="Times New Roman" w:hAnsi="Times New Roman" w:cs="Times New Roman"/>
          <w:sz w:val="24"/>
          <w:szCs w:val="24"/>
        </w:rPr>
        <w:t>Ganssen</w:t>
      </w:r>
      <w:proofErr w:type="spellEnd"/>
      <w:r w:rsidRPr="00FC406E">
        <w:rPr>
          <w:rFonts w:ascii="Times New Roman" w:eastAsia="Times New Roman" w:hAnsi="Times New Roman" w:cs="Times New Roman"/>
          <w:sz w:val="24"/>
          <w:szCs w:val="24"/>
        </w:rPr>
        <w:t xml:space="preserve">, 2000; Rosenthal et al., 2000; </w:t>
      </w:r>
      <w:proofErr w:type="spellStart"/>
      <w:r w:rsidRPr="00FC406E">
        <w:rPr>
          <w:rFonts w:ascii="Times New Roman" w:eastAsia="Times New Roman" w:hAnsi="Times New Roman" w:cs="Times New Roman"/>
          <w:sz w:val="24"/>
          <w:szCs w:val="24"/>
        </w:rPr>
        <w:t>Toyofuku</w:t>
      </w:r>
      <w:proofErr w:type="spellEnd"/>
      <w:r w:rsidRPr="00FC406E">
        <w:rPr>
          <w:rFonts w:ascii="Times New Roman" w:eastAsia="Times New Roman" w:hAnsi="Times New Roman" w:cs="Times New Roman"/>
          <w:sz w:val="24"/>
          <w:szCs w:val="24"/>
        </w:rPr>
        <w:t xml:space="preserve"> et al., 2000; Vander </w:t>
      </w:r>
      <w:proofErr w:type="spellStart"/>
      <w:r w:rsidRPr="00FC406E">
        <w:rPr>
          <w:rFonts w:ascii="Times New Roman" w:eastAsia="Times New Roman" w:hAnsi="Times New Roman" w:cs="Times New Roman"/>
          <w:sz w:val="24"/>
          <w:szCs w:val="24"/>
        </w:rPr>
        <w:t>Putten</w:t>
      </w:r>
      <w:proofErr w:type="spellEnd"/>
      <w:r w:rsidRPr="00FC406E">
        <w:rPr>
          <w:rFonts w:ascii="Times New Roman" w:eastAsia="Times New Roman" w:hAnsi="Times New Roman" w:cs="Times New Roman"/>
          <w:sz w:val="24"/>
          <w:szCs w:val="24"/>
        </w:rPr>
        <w:t xml:space="preserve"> et al., 2000). The potential for extracting growth conditions of the past from the chemical signatures recorded in fossil calcite samples motivates much current </w:t>
      </w:r>
      <w:r w:rsidRPr="00FC406E">
        <w:rPr>
          <w:rFonts w:ascii="Times New Roman" w:eastAsia="Times New Roman" w:hAnsi="Times New Roman" w:cs="Times New Roman"/>
          <w:sz w:val="24"/>
          <w:szCs w:val="24"/>
        </w:rPr>
        <w:lastRenderedPageBreak/>
        <w:t xml:space="preserve">effort in paleoclimatology. However, correlations between trace element contents and physical or chemical conditions are not simple and display interspecies variations (Lea et al., 1999; </w:t>
      </w:r>
      <w:proofErr w:type="spellStart"/>
      <w:r w:rsidRPr="00FC406E">
        <w:rPr>
          <w:rFonts w:ascii="Times New Roman" w:eastAsia="Times New Roman" w:hAnsi="Times New Roman" w:cs="Times New Roman"/>
          <w:sz w:val="24"/>
          <w:szCs w:val="24"/>
        </w:rPr>
        <w:t>Elderfield</w:t>
      </w:r>
      <w:proofErr w:type="spellEnd"/>
      <w:r w:rsidRPr="00FC406E">
        <w:rPr>
          <w:rFonts w:ascii="Times New Roman" w:eastAsia="Times New Roman" w:hAnsi="Times New Roman" w:cs="Times New Roman"/>
          <w:sz w:val="24"/>
          <w:szCs w:val="24"/>
        </w:rPr>
        <w:t xml:space="preserve"> and </w:t>
      </w:r>
      <w:proofErr w:type="spellStart"/>
      <w:r w:rsidRPr="00FC406E">
        <w:rPr>
          <w:rFonts w:ascii="Times New Roman" w:eastAsia="Times New Roman" w:hAnsi="Times New Roman" w:cs="Times New Roman"/>
          <w:sz w:val="24"/>
          <w:szCs w:val="24"/>
        </w:rPr>
        <w:t>Ganssen</w:t>
      </w:r>
      <w:proofErr w:type="spellEnd"/>
      <w:r w:rsidRPr="00FC406E">
        <w:rPr>
          <w:rFonts w:ascii="Times New Roman" w:eastAsia="Times New Roman" w:hAnsi="Times New Roman" w:cs="Times New Roman"/>
          <w:sz w:val="24"/>
          <w:szCs w:val="24"/>
        </w:rPr>
        <w:t xml:space="preserve">, 2000; Vander </w:t>
      </w:r>
      <w:proofErr w:type="spellStart"/>
      <w:r w:rsidRPr="00FC406E">
        <w:rPr>
          <w:rFonts w:ascii="Times New Roman" w:eastAsia="Times New Roman" w:hAnsi="Times New Roman" w:cs="Times New Roman"/>
          <w:sz w:val="24"/>
          <w:szCs w:val="24"/>
        </w:rPr>
        <w:t>Putten</w:t>
      </w:r>
      <w:proofErr w:type="spellEnd"/>
      <w:r w:rsidRPr="00FC406E">
        <w:rPr>
          <w:rFonts w:ascii="Times New Roman" w:eastAsia="Times New Roman" w:hAnsi="Times New Roman" w:cs="Times New Roman"/>
          <w:sz w:val="24"/>
          <w:szCs w:val="24"/>
        </w:rPr>
        <w:t xml:space="preserve"> et al., 2000). In many cases, multiple controls appear to be at work in governing uptake of a given impurity. To reliably interpret trace element-based </w:t>
      </w:r>
      <w:proofErr w:type="spellStart"/>
      <w:r w:rsidRPr="00FC406E">
        <w:rPr>
          <w:rFonts w:ascii="Times New Roman" w:eastAsia="Times New Roman" w:hAnsi="Times New Roman" w:cs="Times New Roman"/>
          <w:sz w:val="24"/>
          <w:szCs w:val="24"/>
        </w:rPr>
        <w:t>paleoproxies</w:t>
      </w:r>
      <w:proofErr w:type="spellEnd"/>
      <w:r w:rsidRPr="00FC406E">
        <w:rPr>
          <w:rFonts w:ascii="Times New Roman" w:eastAsia="Times New Roman" w:hAnsi="Times New Roman" w:cs="Times New Roman"/>
          <w:sz w:val="24"/>
          <w:szCs w:val="24"/>
        </w:rPr>
        <w:t xml:space="preserve"> will require understanding, with some certainty, the growth behavior of calcite over the range of relevant conditions.</w:t>
      </w:r>
    </w:p>
    <w:p w:rsidR="00FC406E" w:rsidRPr="00FC406E" w:rsidRDefault="00FC406E" w:rsidP="00FC406E">
      <w:pPr>
        <w:spacing w:before="100" w:beforeAutospacing="1" w:after="100" w:afterAutospacing="1" w:line="240" w:lineRule="auto"/>
        <w:rPr>
          <w:rFonts w:ascii="Times New Roman" w:eastAsia="Times New Roman" w:hAnsi="Times New Roman" w:cs="Times New Roman"/>
          <w:sz w:val="24"/>
          <w:szCs w:val="24"/>
        </w:rPr>
      </w:pPr>
      <w:r w:rsidRPr="00FC406E">
        <w:rPr>
          <w:rFonts w:ascii="Times New Roman" w:eastAsia="Times New Roman" w:hAnsi="Times New Roman" w:cs="Times New Roman"/>
          <w:sz w:val="24"/>
          <w:szCs w:val="24"/>
        </w:rPr>
        <w:t xml:space="preserve">The trace element signatures in biogenic calcite samples are complex convolutions of externally imposed, physicochemical parameters and internally regulated, biologic controls. It is important to emphasize that, for paleoclimatology, the aim is to extract information about the former, despite the presence of the latter. Understanding the variations in calcite growth behavior and impurity uptake common to all calcite samples, regardless of biologic particulars, in response to changes in the environment is crucial to achieving the ultimate goal. Unless we know the thermodynamically and kinetically imposed changes in growth behavior that underlie the complex signatures found in nature, the quest to develop robust </w:t>
      </w:r>
      <w:proofErr w:type="spellStart"/>
      <w:r w:rsidRPr="00FC406E">
        <w:rPr>
          <w:rFonts w:ascii="Times New Roman" w:eastAsia="Times New Roman" w:hAnsi="Times New Roman" w:cs="Times New Roman"/>
          <w:sz w:val="24"/>
          <w:szCs w:val="24"/>
        </w:rPr>
        <w:t>paleoproxy</w:t>
      </w:r>
      <w:proofErr w:type="spellEnd"/>
      <w:r w:rsidRPr="00FC406E">
        <w:rPr>
          <w:rFonts w:ascii="Times New Roman" w:eastAsia="Times New Roman" w:hAnsi="Times New Roman" w:cs="Times New Roman"/>
          <w:sz w:val="24"/>
          <w:szCs w:val="24"/>
        </w:rPr>
        <w:t xml:space="preserve"> tools will be impeded.</w:t>
      </w:r>
    </w:p>
    <w:p w:rsidR="00FC406E" w:rsidRPr="00FC406E" w:rsidRDefault="00FC406E" w:rsidP="00FC406E">
      <w:pPr>
        <w:spacing w:before="100" w:beforeAutospacing="1" w:after="100" w:afterAutospacing="1" w:line="240" w:lineRule="auto"/>
        <w:rPr>
          <w:rFonts w:ascii="Times New Roman" w:eastAsia="Times New Roman" w:hAnsi="Times New Roman" w:cs="Times New Roman"/>
          <w:sz w:val="24"/>
          <w:szCs w:val="24"/>
        </w:rPr>
      </w:pPr>
      <w:r w:rsidRPr="00FC406E">
        <w:rPr>
          <w:rFonts w:ascii="Times New Roman" w:eastAsia="Times New Roman" w:hAnsi="Times New Roman" w:cs="Times New Roman"/>
          <w:sz w:val="24"/>
          <w:szCs w:val="24"/>
        </w:rPr>
        <w:t>Of the minor elements found in calcite, magnesium is most abundant and displays some of the strongest correlations with growth conditions. A large number of investigations have shown that Mg contents in modern biogenic calcite samples are positively correlated with temperature (</w:t>
      </w:r>
      <w:proofErr w:type="spellStart"/>
      <w:r w:rsidRPr="00FC406E">
        <w:rPr>
          <w:rFonts w:ascii="Times New Roman" w:eastAsia="Times New Roman" w:hAnsi="Times New Roman" w:cs="Times New Roman"/>
          <w:sz w:val="24"/>
          <w:szCs w:val="24"/>
        </w:rPr>
        <w:t>Chave</w:t>
      </w:r>
      <w:proofErr w:type="spellEnd"/>
      <w:r w:rsidRPr="00FC406E">
        <w:rPr>
          <w:rFonts w:ascii="Times New Roman" w:eastAsia="Times New Roman" w:hAnsi="Times New Roman" w:cs="Times New Roman"/>
          <w:sz w:val="24"/>
          <w:szCs w:val="24"/>
        </w:rPr>
        <w:t xml:space="preserve">, 1954; Dodd, 1965; Katz, 1973; </w:t>
      </w:r>
      <w:proofErr w:type="spellStart"/>
      <w:r w:rsidRPr="00FC406E">
        <w:rPr>
          <w:rFonts w:ascii="Times New Roman" w:eastAsia="Times New Roman" w:hAnsi="Times New Roman" w:cs="Times New Roman"/>
          <w:sz w:val="24"/>
          <w:szCs w:val="24"/>
        </w:rPr>
        <w:t>Savin</w:t>
      </w:r>
      <w:proofErr w:type="spellEnd"/>
      <w:r w:rsidRPr="00FC406E">
        <w:rPr>
          <w:rFonts w:ascii="Times New Roman" w:eastAsia="Times New Roman" w:hAnsi="Times New Roman" w:cs="Times New Roman"/>
          <w:sz w:val="24"/>
          <w:szCs w:val="24"/>
        </w:rPr>
        <w:t xml:space="preserve"> and Douglas, 1973; </w:t>
      </w:r>
      <w:proofErr w:type="spellStart"/>
      <w:r w:rsidRPr="00FC406E">
        <w:rPr>
          <w:rFonts w:ascii="Times New Roman" w:eastAsia="Times New Roman" w:hAnsi="Times New Roman" w:cs="Times New Roman"/>
          <w:sz w:val="24"/>
          <w:szCs w:val="24"/>
        </w:rPr>
        <w:t>Füchtbauer</w:t>
      </w:r>
      <w:proofErr w:type="spellEnd"/>
      <w:r w:rsidRPr="00FC406E">
        <w:rPr>
          <w:rFonts w:ascii="Times New Roman" w:eastAsia="Times New Roman" w:hAnsi="Times New Roman" w:cs="Times New Roman"/>
          <w:sz w:val="24"/>
          <w:szCs w:val="24"/>
        </w:rPr>
        <w:t xml:space="preserve"> and Hardie, 1976; </w:t>
      </w:r>
      <w:proofErr w:type="spellStart"/>
      <w:r w:rsidRPr="00FC406E">
        <w:rPr>
          <w:rFonts w:ascii="Times New Roman" w:eastAsia="Times New Roman" w:hAnsi="Times New Roman" w:cs="Times New Roman"/>
          <w:sz w:val="24"/>
          <w:szCs w:val="24"/>
        </w:rPr>
        <w:t>Cronblad</w:t>
      </w:r>
      <w:proofErr w:type="spellEnd"/>
      <w:r w:rsidRPr="00FC406E">
        <w:rPr>
          <w:rFonts w:ascii="Times New Roman" w:eastAsia="Times New Roman" w:hAnsi="Times New Roman" w:cs="Times New Roman"/>
          <w:sz w:val="24"/>
          <w:szCs w:val="24"/>
        </w:rPr>
        <w:t xml:space="preserve"> and </w:t>
      </w:r>
      <w:proofErr w:type="spellStart"/>
      <w:r w:rsidRPr="00FC406E">
        <w:rPr>
          <w:rFonts w:ascii="Times New Roman" w:eastAsia="Times New Roman" w:hAnsi="Times New Roman" w:cs="Times New Roman"/>
          <w:sz w:val="24"/>
          <w:szCs w:val="24"/>
        </w:rPr>
        <w:t>Malmgren</w:t>
      </w:r>
      <w:proofErr w:type="spellEnd"/>
      <w:r w:rsidRPr="00FC406E">
        <w:rPr>
          <w:rFonts w:ascii="Times New Roman" w:eastAsia="Times New Roman" w:hAnsi="Times New Roman" w:cs="Times New Roman"/>
          <w:sz w:val="24"/>
          <w:szCs w:val="24"/>
        </w:rPr>
        <w:t xml:space="preserve">, 1981; Burton and Walter, 1987; </w:t>
      </w:r>
      <w:proofErr w:type="spellStart"/>
      <w:r w:rsidRPr="00FC406E">
        <w:rPr>
          <w:rFonts w:ascii="Times New Roman" w:eastAsia="Times New Roman" w:hAnsi="Times New Roman" w:cs="Times New Roman"/>
          <w:sz w:val="24"/>
          <w:szCs w:val="24"/>
        </w:rPr>
        <w:t>Mucci</w:t>
      </w:r>
      <w:proofErr w:type="spellEnd"/>
      <w:r w:rsidRPr="00FC406E">
        <w:rPr>
          <w:rFonts w:ascii="Times New Roman" w:eastAsia="Times New Roman" w:hAnsi="Times New Roman" w:cs="Times New Roman"/>
          <w:sz w:val="24"/>
          <w:szCs w:val="24"/>
        </w:rPr>
        <w:t xml:space="preserve">, 1987; Oomori et al., 1987; </w:t>
      </w:r>
      <w:proofErr w:type="spellStart"/>
      <w:r w:rsidRPr="00FC406E">
        <w:rPr>
          <w:rFonts w:ascii="Times New Roman" w:eastAsia="Times New Roman" w:hAnsi="Times New Roman" w:cs="Times New Roman"/>
          <w:sz w:val="24"/>
          <w:szCs w:val="24"/>
        </w:rPr>
        <w:t>Nürnberg</w:t>
      </w:r>
      <w:proofErr w:type="spellEnd"/>
      <w:r w:rsidRPr="00FC406E">
        <w:rPr>
          <w:rFonts w:ascii="Times New Roman" w:eastAsia="Times New Roman" w:hAnsi="Times New Roman" w:cs="Times New Roman"/>
          <w:sz w:val="24"/>
          <w:szCs w:val="24"/>
        </w:rPr>
        <w:t xml:space="preserve"> et al., 1996; Rosenthal et al., 1997; Lea, 1999; </w:t>
      </w:r>
      <w:proofErr w:type="spellStart"/>
      <w:r w:rsidRPr="00FC406E">
        <w:rPr>
          <w:rFonts w:ascii="Times New Roman" w:eastAsia="Times New Roman" w:hAnsi="Times New Roman" w:cs="Times New Roman"/>
          <w:sz w:val="24"/>
          <w:szCs w:val="24"/>
        </w:rPr>
        <w:t>Elderfield</w:t>
      </w:r>
      <w:proofErr w:type="spellEnd"/>
      <w:r w:rsidRPr="00FC406E">
        <w:rPr>
          <w:rFonts w:ascii="Times New Roman" w:eastAsia="Times New Roman" w:hAnsi="Times New Roman" w:cs="Times New Roman"/>
          <w:sz w:val="24"/>
          <w:szCs w:val="24"/>
        </w:rPr>
        <w:t xml:space="preserve"> and </w:t>
      </w:r>
      <w:proofErr w:type="spellStart"/>
      <w:r w:rsidRPr="00FC406E">
        <w:rPr>
          <w:rFonts w:ascii="Times New Roman" w:eastAsia="Times New Roman" w:hAnsi="Times New Roman" w:cs="Times New Roman"/>
          <w:sz w:val="24"/>
          <w:szCs w:val="24"/>
        </w:rPr>
        <w:t>Ganssen</w:t>
      </w:r>
      <w:proofErr w:type="spellEnd"/>
      <w:r w:rsidRPr="00FC406E">
        <w:rPr>
          <w:rFonts w:ascii="Times New Roman" w:eastAsia="Times New Roman" w:hAnsi="Times New Roman" w:cs="Times New Roman"/>
          <w:sz w:val="24"/>
          <w:szCs w:val="24"/>
        </w:rPr>
        <w:t xml:space="preserve">, 2000; Rosenthal et al., 2000; </w:t>
      </w:r>
      <w:proofErr w:type="spellStart"/>
      <w:r w:rsidRPr="00FC406E">
        <w:rPr>
          <w:rFonts w:ascii="Times New Roman" w:eastAsia="Times New Roman" w:hAnsi="Times New Roman" w:cs="Times New Roman"/>
          <w:sz w:val="24"/>
          <w:szCs w:val="24"/>
        </w:rPr>
        <w:t>Toyofuku</w:t>
      </w:r>
      <w:proofErr w:type="spellEnd"/>
      <w:r w:rsidRPr="00FC406E">
        <w:rPr>
          <w:rFonts w:ascii="Times New Roman" w:eastAsia="Times New Roman" w:hAnsi="Times New Roman" w:cs="Times New Roman"/>
          <w:sz w:val="24"/>
          <w:szCs w:val="24"/>
        </w:rPr>
        <w:t xml:space="preserve"> et al., 2000; Vander </w:t>
      </w:r>
      <w:proofErr w:type="spellStart"/>
      <w:r w:rsidRPr="00FC406E">
        <w:rPr>
          <w:rFonts w:ascii="Times New Roman" w:eastAsia="Times New Roman" w:hAnsi="Times New Roman" w:cs="Times New Roman"/>
          <w:sz w:val="24"/>
          <w:szCs w:val="24"/>
        </w:rPr>
        <w:t>Putten</w:t>
      </w:r>
      <w:proofErr w:type="spellEnd"/>
      <w:r w:rsidRPr="00FC406E">
        <w:rPr>
          <w:rFonts w:ascii="Times New Roman" w:eastAsia="Times New Roman" w:hAnsi="Times New Roman" w:cs="Times New Roman"/>
          <w:sz w:val="24"/>
          <w:szCs w:val="24"/>
        </w:rPr>
        <w:t xml:space="preserve"> et al., 2000). However, the relationship between temperature and Mg content in natural calcite appears not to be simple. Lea (2003) has noted that two of the most fundamental issues in development of magnesium </w:t>
      </w:r>
      <w:proofErr w:type="spellStart"/>
      <w:r w:rsidRPr="00FC406E">
        <w:rPr>
          <w:rFonts w:ascii="Times New Roman" w:eastAsia="Times New Roman" w:hAnsi="Times New Roman" w:cs="Times New Roman"/>
          <w:sz w:val="24"/>
          <w:szCs w:val="24"/>
        </w:rPr>
        <w:t>paleothermometry</w:t>
      </w:r>
      <w:proofErr w:type="spellEnd"/>
      <w:r w:rsidRPr="00FC406E">
        <w:rPr>
          <w:rFonts w:ascii="Times New Roman" w:eastAsia="Times New Roman" w:hAnsi="Times New Roman" w:cs="Times New Roman"/>
          <w:sz w:val="24"/>
          <w:szCs w:val="24"/>
        </w:rPr>
        <w:t xml:space="preserve"> are establishing robust calibrations of the Mg-thermometer and determining the influence of environmental factors other than temperature on Mg incorporation, such as </w:t>
      </w:r>
      <w:r w:rsidRPr="00FC406E">
        <w:rPr>
          <w:rFonts w:ascii="Times New Roman" w:eastAsia="Times New Roman" w:hAnsi="Times New Roman" w:cs="Times New Roman"/>
          <w:i/>
          <w:iCs/>
          <w:sz w:val="24"/>
          <w:szCs w:val="24"/>
        </w:rPr>
        <w:t>p</w:t>
      </w:r>
      <w:r w:rsidRPr="00FC406E">
        <w:rPr>
          <w:rFonts w:ascii="Times New Roman" w:eastAsia="Times New Roman" w:hAnsi="Times New Roman" w:cs="Times New Roman"/>
          <w:sz w:val="24"/>
          <w:szCs w:val="24"/>
        </w:rPr>
        <w:t xml:space="preserve">H, salinity, and seawater Mg/Ca. Indeed, a review of the literature reveals differences in the Mg-temperature relationship between species and sometimes between individual organisms of the same species (Lea et al., 1999; </w:t>
      </w:r>
      <w:proofErr w:type="spellStart"/>
      <w:r w:rsidRPr="00FC406E">
        <w:rPr>
          <w:rFonts w:ascii="Times New Roman" w:eastAsia="Times New Roman" w:hAnsi="Times New Roman" w:cs="Times New Roman"/>
          <w:sz w:val="24"/>
          <w:szCs w:val="24"/>
        </w:rPr>
        <w:t>Elderfield</w:t>
      </w:r>
      <w:proofErr w:type="spellEnd"/>
      <w:r w:rsidRPr="00FC406E">
        <w:rPr>
          <w:rFonts w:ascii="Times New Roman" w:eastAsia="Times New Roman" w:hAnsi="Times New Roman" w:cs="Times New Roman"/>
          <w:sz w:val="24"/>
          <w:szCs w:val="24"/>
        </w:rPr>
        <w:t xml:space="preserve"> and </w:t>
      </w:r>
      <w:proofErr w:type="spellStart"/>
      <w:r w:rsidRPr="00FC406E">
        <w:rPr>
          <w:rFonts w:ascii="Times New Roman" w:eastAsia="Times New Roman" w:hAnsi="Times New Roman" w:cs="Times New Roman"/>
          <w:sz w:val="24"/>
          <w:szCs w:val="24"/>
        </w:rPr>
        <w:t>Ganssen</w:t>
      </w:r>
      <w:proofErr w:type="spellEnd"/>
      <w:r w:rsidRPr="00FC406E">
        <w:rPr>
          <w:rFonts w:ascii="Times New Roman" w:eastAsia="Times New Roman" w:hAnsi="Times New Roman" w:cs="Times New Roman"/>
          <w:sz w:val="24"/>
          <w:szCs w:val="24"/>
        </w:rPr>
        <w:t xml:space="preserve">, 2000; Vander </w:t>
      </w:r>
      <w:proofErr w:type="spellStart"/>
      <w:r w:rsidRPr="00FC406E">
        <w:rPr>
          <w:rFonts w:ascii="Times New Roman" w:eastAsia="Times New Roman" w:hAnsi="Times New Roman" w:cs="Times New Roman"/>
          <w:sz w:val="24"/>
          <w:szCs w:val="24"/>
        </w:rPr>
        <w:t>Putten</w:t>
      </w:r>
      <w:proofErr w:type="spellEnd"/>
      <w:r w:rsidRPr="00FC406E">
        <w:rPr>
          <w:rFonts w:ascii="Times New Roman" w:eastAsia="Times New Roman" w:hAnsi="Times New Roman" w:cs="Times New Roman"/>
          <w:sz w:val="24"/>
          <w:szCs w:val="24"/>
        </w:rPr>
        <w:t xml:space="preserve"> et al., 2000). In some studies, physicochemical parameters other than temperature appear to influence Mg contents as well as or even more strongly than growth temperature (Dodd, 1965; </w:t>
      </w:r>
      <w:proofErr w:type="spellStart"/>
      <w:r w:rsidRPr="00FC406E">
        <w:rPr>
          <w:rFonts w:ascii="Times New Roman" w:eastAsia="Times New Roman" w:hAnsi="Times New Roman" w:cs="Times New Roman"/>
          <w:sz w:val="24"/>
          <w:szCs w:val="24"/>
        </w:rPr>
        <w:t>Lorens</w:t>
      </w:r>
      <w:proofErr w:type="spellEnd"/>
      <w:r w:rsidRPr="00FC406E">
        <w:rPr>
          <w:rFonts w:ascii="Times New Roman" w:eastAsia="Times New Roman" w:hAnsi="Times New Roman" w:cs="Times New Roman"/>
          <w:sz w:val="24"/>
          <w:szCs w:val="24"/>
        </w:rPr>
        <w:t xml:space="preserve"> and Bender, 1980; Delaney et al., 1985; </w:t>
      </w:r>
      <w:proofErr w:type="spellStart"/>
      <w:r w:rsidRPr="00FC406E">
        <w:rPr>
          <w:rFonts w:ascii="Times New Roman" w:eastAsia="Times New Roman" w:hAnsi="Times New Roman" w:cs="Times New Roman"/>
          <w:sz w:val="24"/>
          <w:szCs w:val="24"/>
        </w:rPr>
        <w:t>Nürnberg</w:t>
      </w:r>
      <w:proofErr w:type="spellEnd"/>
      <w:r w:rsidRPr="00FC406E">
        <w:rPr>
          <w:rFonts w:ascii="Times New Roman" w:eastAsia="Times New Roman" w:hAnsi="Times New Roman" w:cs="Times New Roman"/>
          <w:sz w:val="24"/>
          <w:szCs w:val="24"/>
        </w:rPr>
        <w:t xml:space="preserve"> et al., 1996; Rosenthal et al., 1997; Lea, 1999; Vander </w:t>
      </w:r>
      <w:proofErr w:type="spellStart"/>
      <w:r w:rsidRPr="00FC406E">
        <w:rPr>
          <w:rFonts w:ascii="Times New Roman" w:eastAsia="Times New Roman" w:hAnsi="Times New Roman" w:cs="Times New Roman"/>
          <w:sz w:val="24"/>
          <w:szCs w:val="24"/>
        </w:rPr>
        <w:t>Putten</w:t>
      </w:r>
      <w:proofErr w:type="spellEnd"/>
      <w:r w:rsidRPr="00FC406E">
        <w:rPr>
          <w:rFonts w:ascii="Times New Roman" w:eastAsia="Times New Roman" w:hAnsi="Times New Roman" w:cs="Times New Roman"/>
          <w:sz w:val="24"/>
          <w:szCs w:val="24"/>
        </w:rPr>
        <w:t xml:space="preserve"> et al., 2000; Boyle and </w:t>
      </w:r>
      <w:proofErr w:type="spellStart"/>
      <w:r w:rsidRPr="00FC406E">
        <w:rPr>
          <w:rFonts w:ascii="Times New Roman" w:eastAsia="Times New Roman" w:hAnsi="Times New Roman" w:cs="Times New Roman"/>
          <w:sz w:val="24"/>
          <w:szCs w:val="24"/>
        </w:rPr>
        <w:t>Erez</w:t>
      </w:r>
      <w:proofErr w:type="spellEnd"/>
      <w:r w:rsidRPr="00FC406E">
        <w:rPr>
          <w:rFonts w:ascii="Times New Roman" w:eastAsia="Times New Roman" w:hAnsi="Times New Roman" w:cs="Times New Roman"/>
          <w:sz w:val="24"/>
          <w:szCs w:val="24"/>
        </w:rPr>
        <w:t>, 2004). Other factors, such as the effects of gametogenesis and preferential dissolution of Mg-rich calcite, add to the difficulty of reconstructing paleotemperature records from fossil samples in a robust manner (Lea, 2003). Reliable interpretation of the Mg signatures in biogenic calcite samples will require more profound knowledge of how physical and chemical conditions in the environment affect mineral growth, especially with regard to the mechanisms by which growth conditions influence mineral composition, both during and after initial formation.</w:t>
      </w:r>
    </w:p>
    <w:p w:rsidR="00FC406E" w:rsidRPr="00FC406E" w:rsidRDefault="00FC406E" w:rsidP="00FC406E">
      <w:pPr>
        <w:spacing w:before="100" w:beforeAutospacing="1" w:after="100" w:afterAutospacing="1" w:line="240" w:lineRule="auto"/>
        <w:rPr>
          <w:rFonts w:ascii="Times New Roman" w:eastAsia="Times New Roman" w:hAnsi="Times New Roman" w:cs="Times New Roman"/>
          <w:sz w:val="24"/>
          <w:szCs w:val="24"/>
        </w:rPr>
      </w:pPr>
      <w:r w:rsidRPr="00FC406E">
        <w:rPr>
          <w:rFonts w:ascii="Times New Roman" w:eastAsia="Times New Roman" w:hAnsi="Times New Roman" w:cs="Times New Roman"/>
          <w:sz w:val="24"/>
          <w:szCs w:val="24"/>
        </w:rPr>
        <w:t xml:space="preserve">Even in the absence of complicating biologic factors, much remains to be understood about Mg and calcite growth in the inorganic system. Many studies of inorganic calcite growth have been published, and there is considerable disagreement as to which controls are important (Katz, 1973; Berner, 1975; </w:t>
      </w:r>
      <w:proofErr w:type="spellStart"/>
      <w:r w:rsidRPr="00FC406E">
        <w:rPr>
          <w:rFonts w:ascii="Times New Roman" w:eastAsia="Times New Roman" w:hAnsi="Times New Roman" w:cs="Times New Roman"/>
          <w:sz w:val="24"/>
          <w:szCs w:val="24"/>
        </w:rPr>
        <w:t>Mucci</w:t>
      </w:r>
      <w:proofErr w:type="spellEnd"/>
      <w:r w:rsidRPr="00FC406E">
        <w:rPr>
          <w:rFonts w:ascii="Times New Roman" w:eastAsia="Times New Roman" w:hAnsi="Times New Roman" w:cs="Times New Roman"/>
          <w:sz w:val="24"/>
          <w:szCs w:val="24"/>
        </w:rPr>
        <w:t xml:space="preserve"> and Morse, 1983; Burton and Walter, 1987; </w:t>
      </w:r>
      <w:proofErr w:type="spellStart"/>
      <w:r w:rsidRPr="00FC406E">
        <w:rPr>
          <w:rFonts w:ascii="Times New Roman" w:eastAsia="Times New Roman" w:hAnsi="Times New Roman" w:cs="Times New Roman"/>
          <w:sz w:val="24"/>
          <w:szCs w:val="24"/>
        </w:rPr>
        <w:t>Mucci</w:t>
      </w:r>
      <w:proofErr w:type="spellEnd"/>
      <w:r w:rsidRPr="00FC406E">
        <w:rPr>
          <w:rFonts w:ascii="Times New Roman" w:eastAsia="Times New Roman" w:hAnsi="Times New Roman" w:cs="Times New Roman"/>
          <w:sz w:val="24"/>
          <w:szCs w:val="24"/>
        </w:rPr>
        <w:t xml:space="preserve">, 1987; Oomori et al., 1987; Morse and Bender, 1990; Paquette and Reeder, 1995; </w:t>
      </w:r>
      <w:proofErr w:type="spellStart"/>
      <w:r w:rsidRPr="00FC406E">
        <w:rPr>
          <w:rFonts w:ascii="Times New Roman" w:eastAsia="Times New Roman" w:hAnsi="Times New Roman" w:cs="Times New Roman"/>
          <w:sz w:val="24"/>
          <w:szCs w:val="24"/>
        </w:rPr>
        <w:t>Rimstidt</w:t>
      </w:r>
      <w:proofErr w:type="spellEnd"/>
      <w:r w:rsidRPr="00FC406E">
        <w:rPr>
          <w:rFonts w:ascii="Times New Roman" w:eastAsia="Times New Roman" w:hAnsi="Times New Roman" w:cs="Times New Roman"/>
          <w:sz w:val="24"/>
          <w:szCs w:val="24"/>
        </w:rPr>
        <w:t xml:space="preserve"> et al., 1998). Again, composition of inorganic calcite is believed to correlate positively with temperature to some extent (Katz, 1973; </w:t>
      </w:r>
      <w:proofErr w:type="spellStart"/>
      <w:r w:rsidRPr="00FC406E">
        <w:rPr>
          <w:rFonts w:ascii="Times New Roman" w:eastAsia="Times New Roman" w:hAnsi="Times New Roman" w:cs="Times New Roman"/>
          <w:sz w:val="24"/>
          <w:szCs w:val="24"/>
        </w:rPr>
        <w:t>Füchtbauer</w:t>
      </w:r>
      <w:proofErr w:type="spellEnd"/>
      <w:r w:rsidRPr="00FC406E">
        <w:rPr>
          <w:rFonts w:ascii="Times New Roman" w:eastAsia="Times New Roman" w:hAnsi="Times New Roman" w:cs="Times New Roman"/>
          <w:sz w:val="24"/>
          <w:szCs w:val="24"/>
        </w:rPr>
        <w:t xml:space="preserve"> and Hardie, 1976; Burton and Walter, 1987; </w:t>
      </w:r>
      <w:proofErr w:type="spellStart"/>
      <w:r w:rsidRPr="00FC406E">
        <w:rPr>
          <w:rFonts w:ascii="Times New Roman" w:eastAsia="Times New Roman" w:hAnsi="Times New Roman" w:cs="Times New Roman"/>
          <w:sz w:val="24"/>
          <w:szCs w:val="24"/>
        </w:rPr>
        <w:t>Mucci</w:t>
      </w:r>
      <w:proofErr w:type="spellEnd"/>
      <w:r w:rsidRPr="00FC406E">
        <w:rPr>
          <w:rFonts w:ascii="Times New Roman" w:eastAsia="Times New Roman" w:hAnsi="Times New Roman" w:cs="Times New Roman"/>
          <w:sz w:val="24"/>
          <w:szCs w:val="24"/>
        </w:rPr>
        <w:t xml:space="preserve">, 1987; Oomori et al., 1987), but some studies report even stronger control of Mg contents by other parameters, such as solution Mg/Ca (Berner, 1975; </w:t>
      </w:r>
      <w:proofErr w:type="spellStart"/>
      <w:r w:rsidRPr="00FC406E">
        <w:rPr>
          <w:rFonts w:ascii="Times New Roman" w:eastAsia="Times New Roman" w:hAnsi="Times New Roman" w:cs="Times New Roman"/>
          <w:sz w:val="24"/>
          <w:szCs w:val="24"/>
        </w:rPr>
        <w:t>Mucci</w:t>
      </w:r>
      <w:proofErr w:type="spellEnd"/>
      <w:r w:rsidRPr="00FC406E">
        <w:rPr>
          <w:rFonts w:ascii="Times New Roman" w:eastAsia="Times New Roman" w:hAnsi="Times New Roman" w:cs="Times New Roman"/>
          <w:sz w:val="24"/>
          <w:szCs w:val="24"/>
        </w:rPr>
        <w:t xml:space="preserve"> and Morse, 1983).</w:t>
      </w:r>
    </w:p>
    <w:p w:rsidR="00FC406E" w:rsidRPr="00FC406E" w:rsidRDefault="00FC406E" w:rsidP="00FC406E">
      <w:pPr>
        <w:spacing w:before="100" w:beforeAutospacing="1" w:after="100" w:afterAutospacing="1" w:line="240" w:lineRule="auto"/>
        <w:rPr>
          <w:rFonts w:ascii="Times New Roman" w:eastAsia="Times New Roman" w:hAnsi="Times New Roman" w:cs="Times New Roman"/>
          <w:sz w:val="24"/>
          <w:szCs w:val="24"/>
        </w:rPr>
      </w:pPr>
      <w:r w:rsidRPr="00FC406E">
        <w:rPr>
          <w:rFonts w:ascii="Times New Roman" w:eastAsia="Times New Roman" w:hAnsi="Times New Roman" w:cs="Times New Roman"/>
          <w:sz w:val="24"/>
          <w:szCs w:val="24"/>
        </w:rPr>
        <w:lastRenderedPageBreak/>
        <w:t>Notably absent from the literature are definite conclusions regarding the relationships between temperature, growth rate, and impurity partitioning for Mg in calcite. Published experimental and modeling studies disagree on the importance of growth rate (</w:t>
      </w:r>
      <w:proofErr w:type="spellStart"/>
      <w:r w:rsidRPr="00FC406E">
        <w:rPr>
          <w:rFonts w:ascii="Times New Roman" w:eastAsia="Times New Roman" w:hAnsi="Times New Roman" w:cs="Times New Roman"/>
          <w:sz w:val="24"/>
          <w:szCs w:val="24"/>
        </w:rPr>
        <w:t>Lahann</w:t>
      </w:r>
      <w:proofErr w:type="spellEnd"/>
      <w:r w:rsidRPr="00FC406E">
        <w:rPr>
          <w:rFonts w:ascii="Times New Roman" w:eastAsia="Times New Roman" w:hAnsi="Times New Roman" w:cs="Times New Roman"/>
          <w:sz w:val="24"/>
          <w:szCs w:val="24"/>
        </w:rPr>
        <w:t xml:space="preserve"> and Siebert, 1982; </w:t>
      </w:r>
      <w:proofErr w:type="spellStart"/>
      <w:r w:rsidRPr="00FC406E">
        <w:rPr>
          <w:rFonts w:ascii="Times New Roman" w:eastAsia="Times New Roman" w:hAnsi="Times New Roman" w:cs="Times New Roman"/>
          <w:sz w:val="24"/>
          <w:szCs w:val="24"/>
        </w:rPr>
        <w:t>Mucci</w:t>
      </w:r>
      <w:proofErr w:type="spellEnd"/>
      <w:r w:rsidRPr="00FC406E">
        <w:rPr>
          <w:rFonts w:ascii="Times New Roman" w:eastAsia="Times New Roman" w:hAnsi="Times New Roman" w:cs="Times New Roman"/>
          <w:sz w:val="24"/>
          <w:szCs w:val="24"/>
        </w:rPr>
        <w:t xml:space="preserve"> and Morse, 1983; Berner, 1987; Watson, 1996; </w:t>
      </w:r>
      <w:proofErr w:type="spellStart"/>
      <w:r w:rsidRPr="00FC406E">
        <w:rPr>
          <w:rFonts w:ascii="Times New Roman" w:eastAsia="Times New Roman" w:hAnsi="Times New Roman" w:cs="Times New Roman"/>
          <w:sz w:val="24"/>
          <w:szCs w:val="24"/>
        </w:rPr>
        <w:t>Rimstidt</w:t>
      </w:r>
      <w:proofErr w:type="spellEnd"/>
      <w:r w:rsidRPr="00FC406E">
        <w:rPr>
          <w:rFonts w:ascii="Times New Roman" w:eastAsia="Times New Roman" w:hAnsi="Times New Roman" w:cs="Times New Roman"/>
          <w:sz w:val="24"/>
          <w:szCs w:val="24"/>
        </w:rPr>
        <w:t xml:space="preserve"> et al., 1998; Watson, 2004), and only a few bulk precipitation studies have systematically varied temperature (Katz, 1973; Burton and Walter, 1987; </w:t>
      </w:r>
      <w:proofErr w:type="spellStart"/>
      <w:r w:rsidRPr="00FC406E">
        <w:rPr>
          <w:rFonts w:ascii="Times New Roman" w:eastAsia="Times New Roman" w:hAnsi="Times New Roman" w:cs="Times New Roman"/>
          <w:sz w:val="24"/>
          <w:szCs w:val="24"/>
        </w:rPr>
        <w:t>Mucci</w:t>
      </w:r>
      <w:proofErr w:type="spellEnd"/>
      <w:r w:rsidRPr="00FC406E">
        <w:rPr>
          <w:rFonts w:ascii="Times New Roman" w:eastAsia="Times New Roman" w:hAnsi="Times New Roman" w:cs="Times New Roman"/>
          <w:sz w:val="24"/>
          <w:szCs w:val="24"/>
        </w:rPr>
        <w:t xml:space="preserve">, 1987; Oomori et al., 1987; </w:t>
      </w:r>
      <w:proofErr w:type="spellStart"/>
      <w:r w:rsidRPr="00FC406E">
        <w:rPr>
          <w:rFonts w:ascii="Times New Roman" w:eastAsia="Times New Roman" w:hAnsi="Times New Roman" w:cs="Times New Roman"/>
          <w:sz w:val="24"/>
          <w:szCs w:val="24"/>
        </w:rPr>
        <w:t>Arvidson</w:t>
      </w:r>
      <w:proofErr w:type="spellEnd"/>
      <w:r w:rsidRPr="00FC406E">
        <w:rPr>
          <w:rFonts w:ascii="Times New Roman" w:eastAsia="Times New Roman" w:hAnsi="Times New Roman" w:cs="Times New Roman"/>
          <w:sz w:val="24"/>
          <w:szCs w:val="24"/>
        </w:rPr>
        <w:t xml:space="preserve"> and Mackenzie, 2000). Improved understanding of how growth rate varies with temperature, supersaturation state, and solution composition is still needed for deconvolution of the factors determining mineral composition.</w:t>
      </w:r>
    </w:p>
    <w:p w:rsidR="00FC406E" w:rsidRPr="00FC406E" w:rsidRDefault="00FC406E" w:rsidP="00FC406E">
      <w:pPr>
        <w:spacing w:before="100" w:beforeAutospacing="1" w:after="100" w:afterAutospacing="1" w:line="240" w:lineRule="auto"/>
        <w:rPr>
          <w:rFonts w:ascii="Times New Roman" w:eastAsia="Times New Roman" w:hAnsi="Times New Roman" w:cs="Times New Roman"/>
          <w:sz w:val="24"/>
          <w:szCs w:val="24"/>
        </w:rPr>
      </w:pPr>
      <w:r w:rsidRPr="00FC406E">
        <w:rPr>
          <w:rFonts w:ascii="Times New Roman" w:eastAsia="Times New Roman" w:hAnsi="Times New Roman" w:cs="Times New Roman"/>
          <w:sz w:val="24"/>
          <w:szCs w:val="24"/>
        </w:rPr>
        <w:t xml:space="preserve">Another factor that is not often considered in experimental or theoretical work is the rate-controlling mechanism, i.e., whether growth rate is limited by diffusive transport of chemical components to the mineral surface or by surface reactions such as dehydration, adsorption, and formation of lattice bonds (Morse, 1983; </w:t>
      </w:r>
      <w:proofErr w:type="spellStart"/>
      <w:r w:rsidRPr="00FC406E">
        <w:rPr>
          <w:rFonts w:ascii="Times New Roman" w:eastAsia="Times New Roman" w:hAnsi="Times New Roman" w:cs="Times New Roman"/>
          <w:sz w:val="24"/>
          <w:szCs w:val="24"/>
        </w:rPr>
        <w:t>Lasaga</w:t>
      </w:r>
      <w:proofErr w:type="spellEnd"/>
      <w:r w:rsidRPr="00FC406E">
        <w:rPr>
          <w:rFonts w:ascii="Times New Roman" w:eastAsia="Times New Roman" w:hAnsi="Times New Roman" w:cs="Times New Roman"/>
          <w:sz w:val="24"/>
          <w:szCs w:val="24"/>
        </w:rPr>
        <w:t xml:space="preserve">, 1998). Variations in rate-controlling mechanism obviously cause variations in growth rate and boundary layer thickness and may thus affect the extent and nature of impurity incorporation during crystal growth. Reaction rates involving growth or dissolution of calcite can be either transport- or surface-controlled (Morse, 1983; </w:t>
      </w:r>
      <w:proofErr w:type="spellStart"/>
      <w:r w:rsidRPr="00FC406E">
        <w:rPr>
          <w:rFonts w:ascii="Times New Roman" w:eastAsia="Times New Roman" w:hAnsi="Times New Roman" w:cs="Times New Roman"/>
          <w:sz w:val="24"/>
          <w:szCs w:val="24"/>
        </w:rPr>
        <w:t>Lasaga</w:t>
      </w:r>
      <w:proofErr w:type="spellEnd"/>
      <w:r w:rsidRPr="00FC406E">
        <w:rPr>
          <w:rFonts w:ascii="Times New Roman" w:eastAsia="Times New Roman" w:hAnsi="Times New Roman" w:cs="Times New Roman"/>
          <w:sz w:val="24"/>
          <w:szCs w:val="24"/>
        </w:rPr>
        <w:t>, 1998). This distinction potentially has important ramifications for the Mg contents of natural calcite samples, especially where biomineralization in different organisms is concerned.</w:t>
      </w:r>
    </w:p>
    <w:p w:rsidR="00FC406E" w:rsidRPr="00FC406E" w:rsidRDefault="00FC406E" w:rsidP="00FC406E">
      <w:pPr>
        <w:spacing w:before="100" w:beforeAutospacing="1" w:after="100" w:afterAutospacing="1" w:line="240" w:lineRule="auto"/>
        <w:rPr>
          <w:rFonts w:ascii="Times New Roman" w:eastAsia="Times New Roman" w:hAnsi="Times New Roman" w:cs="Times New Roman"/>
          <w:sz w:val="24"/>
          <w:szCs w:val="24"/>
        </w:rPr>
      </w:pPr>
      <w:r w:rsidRPr="00FC406E">
        <w:rPr>
          <w:rFonts w:ascii="Times New Roman" w:eastAsia="Times New Roman" w:hAnsi="Times New Roman" w:cs="Times New Roman"/>
          <w:sz w:val="24"/>
          <w:szCs w:val="24"/>
        </w:rPr>
        <w:t>Because of the ongoing uncertainties about how physical and chemical parameters affect calcite growth and composition and the critical importance of quantifying those relationships, we have investigated the response of calcite growth to temperature and solution chemistry with an approach similar to that of Davis et al. (2000), but over a range of temperatures common for natural waters. The aim of this work is to understand fundamentally the thermodynamic and kinetic effects of temperature, solution chemistry, and rate-controlling mechanism on calcite growth in the presence of Mg. The experiments presented in this paper contribute to knowledge of how externally imposed conditions affect calcite growth; once this baseline is established in the inorganic system, superimposed, biologic signatures can be more readily deconvolved from the complex observations made of natural variations in calcite Mg contents.</w:t>
      </w:r>
    </w:p>
    <w:p w:rsidR="00FC406E" w:rsidRPr="00FC406E" w:rsidRDefault="00FC406E" w:rsidP="00FC406E">
      <w:pPr>
        <w:spacing w:before="100" w:beforeAutospacing="1" w:after="100" w:afterAutospacing="1" w:line="240" w:lineRule="auto"/>
        <w:rPr>
          <w:rFonts w:ascii="Times New Roman" w:eastAsia="Times New Roman" w:hAnsi="Times New Roman" w:cs="Times New Roman"/>
          <w:sz w:val="24"/>
          <w:szCs w:val="24"/>
        </w:rPr>
      </w:pPr>
      <w:r w:rsidRPr="00FC406E">
        <w:rPr>
          <w:rFonts w:ascii="Times New Roman" w:eastAsia="Times New Roman" w:hAnsi="Times New Roman" w:cs="Times New Roman"/>
          <w:sz w:val="24"/>
          <w:szCs w:val="24"/>
        </w:rPr>
        <w:t>The approach used here includes kinetic measurements of calcite growth made in situ with atomic force microscopy (AFM). Use of the AFM enables direct observation of the near-equilibrium growth mechanism (monomolecular step propagation, see explanation in Section 2.1) at the scale appropriate for characterizing interactions between Mg and calcite steps. This is the first study of its kind to vary temperature systematically and precisely in this chemical system. It provides a critical link between nanoscale, kinetic measurements with a directly observed, near-equilibrium growth mechanism and chemical analysis of resulting solid calcite with high spatial resolution. A potentially important finding is that the distribution of Mg in calcite growth hillocks changes depending upon whether growth rate is controlled by diffusive transport at the mineral-solution boundary or by surface reactions at step edges. Because the rate-controlling mechanisms are as yet unknown for biologic mineralizing environments, this phenomenon may have significant consequences for interpreting biogenic Mg signatures.</w:t>
      </w:r>
    </w:p>
    <w:p w:rsidR="00FC406E" w:rsidRPr="00FC406E" w:rsidRDefault="00FC406E" w:rsidP="00FC406E">
      <w:pPr>
        <w:spacing w:before="100" w:beforeAutospacing="1" w:after="100" w:afterAutospacing="1" w:line="240" w:lineRule="auto"/>
        <w:outlineLvl w:val="1"/>
        <w:rPr>
          <w:rFonts w:ascii="Times New Roman" w:eastAsia="Times New Roman" w:hAnsi="Times New Roman" w:cs="Times New Roman"/>
          <w:b/>
          <w:bCs/>
          <w:sz w:val="36"/>
          <w:szCs w:val="36"/>
        </w:rPr>
      </w:pPr>
      <w:r w:rsidRPr="00FC406E">
        <w:rPr>
          <w:rFonts w:ascii="Times New Roman" w:eastAsia="Times New Roman" w:hAnsi="Times New Roman" w:cs="Times New Roman"/>
          <w:b/>
          <w:bCs/>
          <w:sz w:val="36"/>
          <w:szCs w:val="36"/>
        </w:rPr>
        <w:t>Section snippets</w:t>
      </w:r>
    </w:p>
    <w:p w:rsidR="00FC406E" w:rsidRPr="00FC406E" w:rsidRDefault="00FC406E" w:rsidP="00FC406E">
      <w:pPr>
        <w:spacing w:before="100" w:beforeAutospacing="1" w:after="100" w:afterAutospacing="1" w:line="240" w:lineRule="auto"/>
        <w:outlineLvl w:val="1"/>
        <w:rPr>
          <w:rFonts w:ascii="Times New Roman" w:eastAsia="Times New Roman" w:hAnsi="Times New Roman" w:cs="Times New Roman"/>
          <w:b/>
          <w:bCs/>
          <w:sz w:val="36"/>
          <w:szCs w:val="36"/>
        </w:rPr>
      </w:pPr>
      <w:r w:rsidRPr="00FC406E">
        <w:rPr>
          <w:rFonts w:ascii="Times New Roman" w:eastAsia="Times New Roman" w:hAnsi="Times New Roman" w:cs="Times New Roman"/>
          <w:b/>
          <w:bCs/>
          <w:sz w:val="36"/>
          <w:szCs w:val="36"/>
        </w:rPr>
        <w:t>Near-Equilibrium Calcite Growth</w:t>
      </w:r>
    </w:p>
    <w:p w:rsidR="00FC406E" w:rsidRPr="00FC406E" w:rsidRDefault="00FC406E" w:rsidP="00FC406E">
      <w:pPr>
        <w:spacing w:before="100" w:beforeAutospacing="1" w:after="100" w:afterAutospacing="1" w:line="240" w:lineRule="auto"/>
        <w:rPr>
          <w:rFonts w:ascii="Times New Roman" w:eastAsia="Times New Roman" w:hAnsi="Times New Roman" w:cs="Times New Roman"/>
          <w:sz w:val="24"/>
          <w:szCs w:val="24"/>
        </w:rPr>
      </w:pPr>
      <w:r w:rsidRPr="00FC406E">
        <w:rPr>
          <w:rFonts w:ascii="Times New Roman" w:eastAsia="Times New Roman" w:hAnsi="Times New Roman" w:cs="Times New Roman"/>
          <w:sz w:val="24"/>
          <w:szCs w:val="24"/>
        </w:rPr>
        <w:lastRenderedPageBreak/>
        <w:t>As previously described (Paquette and Reeder, 1990; Gratz et al., 1993; Paquette and Reeder, 1995; Reeder, 1996; Teng et al., 1998), calcite precipitating from slightly supersaturated solution forms polygonal growth hillocks. Monomolecular steps emanate from spiral dislocations in the crystal lattice at the apices of the growth hillocks. The structure of the calcite lattice results in four hillock flanks with two geometrically distinct step types, one with obtuse angles between step risers and</w:t>
      </w:r>
    </w:p>
    <w:p w:rsidR="00FC406E" w:rsidRPr="00FC406E" w:rsidRDefault="00FC406E" w:rsidP="00FC406E">
      <w:pPr>
        <w:spacing w:before="100" w:beforeAutospacing="1" w:after="100" w:afterAutospacing="1" w:line="240" w:lineRule="auto"/>
        <w:outlineLvl w:val="1"/>
        <w:rPr>
          <w:rFonts w:ascii="Times New Roman" w:eastAsia="Times New Roman" w:hAnsi="Times New Roman" w:cs="Times New Roman"/>
          <w:b/>
          <w:bCs/>
          <w:sz w:val="36"/>
          <w:szCs w:val="36"/>
        </w:rPr>
      </w:pPr>
      <w:r w:rsidRPr="00FC406E">
        <w:rPr>
          <w:rFonts w:ascii="Times New Roman" w:eastAsia="Times New Roman" w:hAnsi="Times New Roman" w:cs="Times New Roman"/>
          <w:b/>
          <w:bCs/>
          <w:sz w:val="36"/>
          <w:szCs w:val="36"/>
        </w:rPr>
        <w:t>Step Speeds vs. Mg Concentration</w:t>
      </w:r>
    </w:p>
    <w:p w:rsidR="00FC406E" w:rsidRPr="00FC406E" w:rsidRDefault="00FC406E" w:rsidP="00FC406E">
      <w:pPr>
        <w:spacing w:before="100" w:beforeAutospacing="1" w:after="100" w:afterAutospacing="1" w:line="240" w:lineRule="auto"/>
        <w:rPr>
          <w:rFonts w:ascii="Times New Roman" w:eastAsia="Times New Roman" w:hAnsi="Times New Roman" w:cs="Times New Roman"/>
          <w:sz w:val="24"/>
          <w:szCs w:val="24"/>
        </w:rPr>
      </w:pPr>
      <w:r w:rsidRPr="00FC406E">
        <w:rPr>
          <w:rFonts w:ascii="Times New Roman" w:eastAsia="Times New Roman" w:hAnsi="Times New Roman" w:cs="Times New Roman"/>
          <w:sz w:val="24"/>
          <w:szCs w:val="24"/>
        </w:rPr>
        <w:t>We measured step speeds at temperatures from 15° to 30°C, with σ ranging from 0.2 to 1.2 and fluid [Mg] from 0 to 5 × 10</w:t>
      </w:r>
      <w:r w:rsidRPr="00FC406E">
        <w:rPr>
          <w:rFonts w:ascii="Times New Roman" w:eastAsia="Times New Roman" w:hAnsi="Times New Roman" w:cs="Times New Roman"/>
          <w:sz w:val="24"/>
          <w:szCs w:val="24"/>
          <w:vertAlign w:val="superscript"/>
        </w:rPr>
        <w:t>−5</w:t>
      </w:r>
      <w:r w:rsidRPr="00FC406E">
        <w:rPr>
          <w:rFonts w:ascii="Times New Roman" w:eastAsia="Times New Roman" w:hAnsi="Times New Roman" w:cs="Times New Roman"/>
          <w:sz w:val="24"/>
          <w:szCs w:val="24"/>
        </w:rPr>
        <w:t xml:space="preserve"> </w:t>
      </w:r>
      <w:proofErr w:type="spellStart"/>
      <w:r w:rsidRPr="00FC406E">
        <w:rPr>
          <w:rFonts w:ascii="Times New Roman" w:eastAsia="Times New Roman" w:hAnsi="Times New Roman" w:cs="Times New Roman"/>
          <w:sz w:val="24"/>
          <w:szCs w:val="24"/>
        </w:rPr>
        <w:t>molal</w:t>
      </w:r>
      <w:proofErr w:type="spellEnd"/>
      <w:r w:rsidRPr="00FC406E">
        <w:rPr>
          <w:rFonts w:ascii="Times New Roman" w:eastAsia="Times New Roman" w:hAnsi="Times New Roman" w:cs="Times New Roman"/>
          <w:sz w:val="24"/>
          <w:szCs w:val="24"/>
        </w:rPr>
        <w:t>. Step speeds for all solutions for obtuse and acute steps are reported in Table 2.</w:t>
      </w:r>
    </w:p>
    <w:p w:rsidR="00FC406E" w:rsidRPr="00FC406E" w:rsidRDefault="00FC406E" w:rsidP="00FC406E">
      <w:pPr>
        <w:spacing w:before="100" w:beforeAutospacing="1" w:after="100" w:afterAutospacing="1" w:line="240" w:lineRule="auto"/>
        <w:rPr>
          <w:rFonts w:ascii="Times New Roman" w:eastAsia="Times New Roman" w:hAnsi="Times New Roman" w:cs="Times New Roman"/>
          <w:sz w:val="24"/>
          <w:szCs w:val="24"/>
        </w:rPr>
      </w:pPr>
      <w:r w:rsidRPr="00FC406E">
        <w:rPr>
          <w:rFonts w:ascii="Times New Roman" w:eastAsia="Times New Roman" w:hAnsi="Times New Roman" w:cs="Times New Roman"/>
          <w:sz w:val="24"/>
          <w:szCs w:val="24"/>
        </w:rPr>
        <w:t>In the figures we show subsets of the data, first at a constant temperature and then at constant fluid [Mg] to illustrate clearly the relationships between these variables and measured growth kinetics. Step speeds for all experiments conducted at 23.5°C are presented in Figure 1 as a</w:t>
      </w:r>
    </w:p>
    <w:p w:rsidR="00FC406E" w:rsidRPr="00FC406E" w:rsidRDefault="00FC406E" w:rsidP="00FC406E">
      <w:pPr>
        <w:spacing w:before="100" w:beforeAutospacing="1" w:after="100" w:afterAutospacing="1" w:line="240" w:lineRule="auto"/>
        <w:outlineLvl w:val="1"/>
        <w:rPr>
          <w:rFonts w:ascii="Times New Roman" w:eastAsia="Times New Roman" w:hAnsi="Times New Roman" w:cs="Times New Roman"/>
          <w:b/>
          <w:bCs/>
          <w:sz w:val="36"/>
          <w:szCs w:val="36"/>
        </w:rPr>
      </w:pPr>
      <w:r w:rsidRPr="00FC406E">
        <w:rPr>
          <w:rFonts w:ascii="Times New Roman" w:eastAsia="Times New Roman" w:hAnsi="Times New Roman" w:cs="Times New Roman"/>
          <w:b/>
          <w:bCs/>
          <w:sz w:val="36"/>
          <w:szCs w:val="36"/>
        </w:rPr>
        <w:t>Inhibition of Calcite Growth by Magnesium</w:t>
      </w:r>
    </w:p>
    <w:p w:rsidR="00FC406E" w:rsidRPr="00FC406E" w:rsidRDefault="00FC406E" w:rsidP="00FC406E">
      <w:pPr>
        <w:spacing w:before="100" w:beforeAutospacing="1" w:after="100" w:afterAutospacing="1" w:line="240" w:lineRule="auto"/>
        <w:rPr>
          <w:rFonts w:ascii="Times New Roman" w:eastAsia="Times New Roman" w:hAnsi="Times New Roman" w:cs="Times New Roman"/>
          <w:sz w:val="24"/>
          <w:szCs w:val="24"/>
        </w:rPr>
      </w:pPr>
      <w:r w:rsidRPr="00FC406E">
        <w:rPr>
          <w:rFonts w:ascii="Times New Roman" w:eastAsia="Times New Roman" w:hAnsi="Times New Roman" w:cs="Times New Roman"/>
          <w:sz w:val="24"/>
          <w:szCs w:val="24"/>
        </w:rPr>
        <w:t>Previous work by Davis et al. (2000) and Dove et al. (2004) established the negative, linear relationship between calcite step speeds and Mg concentration in solution. Such linear decreases upon Mg addition indicate that Mg inhibits calcite growth through thermodynamic changes associated with incorporation of Mg</w:t>
      </w:r>
      <w:r w:rsidRPr="00FC406E">
        <w:rPr>
          <w:rFonts w:ascii="Times New Roman" w:eastAsia="Times New Roman" w:hAnsi="Times New Roman" w:cs="Times New Roman"/>
          <w:sz w:val="24"/>
          <w:szCs w:val="24"/>
          <w:vertAlign w:val="superscript"/>
        </w:rPr>
        <w:t>2+</w:t>
      </w:r>
      <w:r w:rsidRPr="00FC406E">
        <w:rPr>
          <w:rFonts w:ascii="Times New Roman" w:eastAsia="Times New Roman" w:hAnsi="Times New Roman" w:cs="Times New Roman"/>
          <w:sz w:val="24"/>
          <w:szCs w:val="24"/>
        </w:rPr>
        <w:t xml:space="preserve"> in the calcite lattice. Because Mg</w:t>
      </w:r>
      <w:r w:rsidRPr="00FC406E">
        <w:rPr>
          <w:rFonts w:ascii="Times New Roman" w:eastAsia="Times New Roman" w:hAnsi="Times New Roman" w:cs="Times New Roman"/>
          <w:sz w:val="24"/>
          <w:szCs w:val="24"/>
          <w:vertAlign w:val="superscript"/>
        </w:rPr>
        <w:t>2+</w:t>
      </w:r>
      <w:r w:rsidRPr="00FC406E">
        <w:rPr>
          <w:rFonts w:ascii="Times New Roman" w:eastAsia="Times New Roman" w:hAnsi="Times New Roman" w:cs="Times New Roman"/>
          <w:sz w:val="24"/>
          <w:szCs w:val="24"/>
        </w:rPr>
        <w:t xml:space="preserve"> is somewhat smaller than Ca</w:t>
      </w:r>
      <w:r w:rsidRPr="00FC406E">
        <w:rPr>
          <w:rFonts w:ascii="Times New Roman" w:eastAsia="Times New Roman" w:hAnsi="Times New Roman" w:cs="Times New Roman"/>
          <w:sz w:val="24"/>
          <w:szCs w:val="24"/>
          <w:vertAlign w:val="superscript"/>
        </w:rPr>
        <w:t>2+</w:t>
      </w:r>
      <w:r w:rsidRPr="00FC406E">
        <w:rPr>
          <w:rFonts w:ascii="Times New Roman" w:eastAsia="Times New Roman" w:hAnsi="Times New Roman" w:cs="Times New Roman"/>
          <w:sz w:val="24"/>
          <w:szCs w:val="24"/>
        </w:rPr>
        <w:t>, its incorporation causes lattice strain and thus a decrease in the negative enthalpy of calcite precipitation. For</w:t>
      </w:r>
    </w:p>
    <w:p w:rsidR="00FC406E" w:rsidRPr="00FC406E" w:rsidRDefault="00FC406E" w:rsidP="00FC406E">
      <w:pPr>
        <w:spacing w:before="100" w:beforeAutospacing="1" w:after="100" w:afterAutospacing="1" w:line="240" w:lineRule="auto"/>
        <w:outlineLvl w:val="1"/>
        <w:rPr>
          <w:rFonts w:ascii="Times New Roman" w:eastAsia="Times New Roman" w:hAnsi="Times New Roman" w:cs="Times New Roman"/>
          <w:b/>
          <w:bCs/>
          <w:sz w:val="36"/>
          <w:szCs w:val="36"/>
        </w:rPr>
      </w:pPr>
      <w:r w:rsidRPr="00FC406E">
        <w:rPr>
          <w:rFonts w:ascii="Times New Roman" w:eastAsia="Times New Roman" w:hAnsi="Times New Roman" w:cs="Times New Roman"/>
          <w:b/>
          <w:bCs/>
          <w:sz w:val="36"/>
          <w:szCs w:val="36"/>
        </w:rPr>
        <w:t>Implications for biogenic calcite</w:t>
      </w:r>
    </w:p>
    <w:p w:rsidR="00FC406E" w:rsidRPr="00FC406E" w:rsidRDefault="00FC406E" w:rsidP="00FC406E">
      <w:pPr>
        <w:spacing w:before="100" w:beforeAutospacing="1" w:after="100" w:afterAutospacing="1" w:line="240" w:lineRule="auto"/>
        <w:rPr>
          <w:rFonts w:ascii="Times New Roman" w:eastAsia="Times New Roman" w:hAnsi="Times New Roman" w:cs="Times New Roman"/>
          <w:sz w:val="24"/>
          <w:szCs w:val="24"/>
        </w:rPr>
      </w:pPr>
      <w:r w:rsidRPr="00FC406E">
        <w:rPr>
          <w:rFonts w:ascii="Times New Roman" w:eastAsia="Times New Roman" w:hAnsi="Times New Roman" w:cs="Times New Roman"/>
          <w:sz w:val="24"/>
          <w:szCs w:val="24"/>
        </w:rPr>
        <w:t xml:space="preserve">In concluding this paper, we suggest two potentially important implications of our findings. First, for any species that occurs across a wide range of temperatures in the ocean for which control of growth rate is critical to successful biomineral production, our results imply that organisms in warmer environments may need to exert stricter control on the chemistry of the mineralizing environment to control growth rates precisely. This may be most significant for organisms that build complex and </w:t>
      </w:r>
    </w:p>
    <w:p w:rsidR="00FC406E" w:rsidRPr="00FC406E" w:rsidRDefault="00FC406E" w:rsidP="00FC406E">
      <w:pPr>
        <w:spacing w:before="100" w:beforeAutospacing="1" w:after="100" w:afterAutospacing="1" w:line="240" w:lineRule="auto"/>
        <w:outlineLvl w:val="1"/>
        <w:rPr>
          <w:rFonts w:ascii="Times New Roman" w:eastAsia="Times New Roman" w:hAnsi="Times New Roman" w:cs="Times New Roman"/>
          <w:b/>
          <w:bCs/>
          <w:sz w:val="36"/>
          <w:szCs w:val="36"/>
        </w:rPr>
      </w:pPr>
      <w:r w:rsidRPr="00FC406E">
        <w:rPr>
          <w:rFonts w:ascii="Times New Roman" w:eastAsia="Times New Roman" w:hAnsi="Times New Roman" w:cs="Times New Roman"/>
          <w:b/>
          <w:bCs/>
          <w:sz w:val="36"/>
          <w:szCs w:val="36"/>
        </w:rPr>
        <w:t>Summary</w:t>
      </w:r>
    </w:p>
    <w:p w:rsidR="00FC406E" w:rsidRPr="00FC406E" w:rsidRDefault="00FC406E" w:rsidP="00FC406E">
      <w:pPr>
        <w:spacing w:before="100" w:beforeAutospacing="1" w:after="100" w:afterAutospacing="1" w:line="240" w:lineRule="auto"/>
        <w:rPr>
          <w:rFonts w:ascii="Times New Roman" w:eastAsia="Times New Roman" w:hAnsi="Times New Roman" w:cs="Times New Roman"/>
          <w:sz w:val="24"/>
          <w:szCs w:val="24"/>
        </w:rPr>
      </w:pPr>
      <w:r w:rsidRPr="00FC406E">
        <w:rPr>
          <w:rFonts w:ascii="Times New Roman" w:eastAsia="Times New Roman" w:hAnsi="Times New Roman" w:cs="Times New Roman"/>
          <w:sz w:val="24"/>
          <w:szCs w:val="24"/>
        </w:rPr>
        <w:t>We have presented two types of calcite growth experiments: one in which we directly measured step flow rates as a function of temperature and solution chemistry (with atomic force microscopy) and one that connects those measurements to chemical analysis of Mg distributions in calcite with high spatial resolution. The AFM experiments, conducted over a range of temperatures relevant to natural waters, quantify the effect of temperature on calcite growth rate and yield activation energies of 33</w:t>
      </w:r>
    </w:p>
    <w:p w:rsidR="00FC406E" w:rsidRPr="00FC406E" w:rsidRDefault="00FC406E" w:rsidP="00FC406E">
      <w:pPr>
        <w:spacing w:before="100" w:beforeAutospacing="1" w:after="100" w:afterAutospacing="1" w:line="240" w:lineRule="auto"/>
        <w:outlineLvl w:val="1"/>
        <w:rPr>
          <w:rFonts w:ascii="Times New Roman" w:eastAsia="Times New Roman" w:hAnsi="Times New Roman" w:cs="Times New Roman"/>
          <w:b/>
          <w:bCs/>
          <w:sz w:val="36"/>
          <w:szCs w:val="36"/>
        </w:rPr>
      </w:pPr>
      <w:r w:rsidRPr="00FC406E">
        <w:rPr>
          <w:rFonts w:ascii="Times New Roman" w:eastAsia="Times New Roman" w:hAnsi="Times New Roman" w:cs="Times New Roman"/>
          <w:b/>
          <w:bCs/>
          <w:sz w:val="36"/>
          <w:szCs w:val="36"/>
        </w:rPr>
        <w:t>Acknowledgments</w:t>
      </w:r>
    </w:p>
    <w:p w:rsidR="00FC406E" w:rsidRPr="00FC406E" w:rsidRDefault="00FC406E" w:rsidP="00FC406E">
      <w:pPr>
        <w:spacing w:before="100" w:beforeAutospacing="1" w:after="100" w:afterAutospacing="1" w:line="240" w:lineRule="auto"/>
        <w:rPr>
          <w:rFonts w:ascii="Times New Roman" w:eastAsia="Times New Roman" w:hAnsi="Times New Roman" w:cs="Times New Roman"/>
          <w:sz w:val="24"/>
          <w:szCs w:val="24"/>
        </w:rPr>
      </w:pPr>
      <w:r w:rsidRPr="00FC406E">
        <w:rPr>
          <w:rFonts w:ascii="Times New Roman" w:eastAsia="Times New Roman" w:hAnsi="Times New Roman" w:cs="Times New Roman"/>
          <w:sz w:val="24"/>
          <w:szCs w:val="24"/>
        </w:rPr>
        <w:lastRenderedPageBreak/>
        <w:t xml:space="preserve">The authors wish to thank E. B. Watson, A. </w:t>
      </w:r>
      <w:proofErr w:type="spellStart"/>
      <w:r w:rsidRPr="00FC406E">
        <w:rPr>
          <w:rFonts w:ascii="Times New Roman" w:eastAsia="Times New Roman" w:hAnsi="Times New Roman" w:cs="Times New Roman"/>
          <w:sz w:val="24"/>
          <w:szCs w:val="24"/>
        </w:rPr>
        <w:t>Luttge</w:t>
      </w:r>
      <w:proofErr w:type="spellEnd"/>
      <w:r w:rsidRPr="00FC406E">
        <w:rPr>
          <w:rFonts w:ascii="Times New Roman" w:eastAsia="Times New Roman" w:hAnsi="Times New Roman" w:cs="Times New Roman"/>
          <w:sz w:val="24"/>
          <w:szCs w:val="24"/>
        </w:rPr>
        <w:t>, and an anonymous reviewer for kind and helpful reviews of the manuscript and D. Lea for editorial handling. This work was supported by NSF OCE-0083173 and DOE FG02-00ER15112.</w:t>
      </w:r>
    </w:p>
    <w:p w:rsidR="004F2704" w:rsidRDefault="004F2704"/>
    <w:sectPr w:rsidR="004F2704">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C406E"/>
    <w:rsid w:val="004F2704"/>
    <w:rsid w:val="00FC406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F9E6C3"/>
  <w15:chartTrackingRefBased/>
  <w15:docId w15:val="{C1F17FE5-A11E-4DEB-B3A2-BFEB164CE0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77180848">
      <w:bodyDiv w:val="1"/>
      <w:marLeft w:val="0"/>
      <w:marRight w:val="0"/>
      <w:marTop w:val="0"/>
      <w:marBottom w:val="0"/>
      <w:divBdr>
        <w:top w:val="none" w:sz="0" w:space="0" w:color="auto"/>
        <w:left w:val="none" w:sz="0" w:space="0" w:color="auto"/>
        <w:bottom w:val="none" w:sz="0" w:space="0" w:color="auto"/>
        <w:right w:val="none" w:sz="0" w:space="0" w:color="auto"/>
      </w:divBdr>
      <w:divsChild>
        <w:div w:id="1288049642">
          <w:marLeft w:val="0"/>
          <w:marRight w:val="0"/>
          <w:marTop w:val="0"/>
          <w:marBottom w:val="0"/>
          <w:divBdr>
            <w:top w:val="none" w:sz="0" w:space="0" w:color="auto"/>
            <w:left w:val="none" w:sz="0" w:space="0" w:color="auto"/>
            <w:bottom w:val="none" w:sz="0" w:space="0" w:color="auto"/>
            <w:right w:val="none" w:sz="0" w:space="0" w:color="auto"/>
          </w:divBdr>
          <w:divsChild>
            <w:div w:id="1636326959">
              <w:marLeft w:val="0"/>
              <w:marRight w:val="0"/>
              <w:marTop w:val="0"/>
              <w:marBottom w:val="0"/>
              <w:divBdr>
                <w:top w:val="none" w:sz="0" w:space="0" w:color="auto"/>
                <w:left w:val="none" w:sz="0" w:space="0" w:color="auto"/>
                <w:bottom w:val="none" w:sz="0" w:space="0" w:color="auto"/>
                <w:right w:val="none" w:sz="0" w:space="0" w:color="auto"/>
              </w:divBdr>
              <w:divsChild>
                <w:div w:id="678460117">
                  <w:marLeft w:val="0"/>
                  <w:marRight w:val="0"/>
                  <w:marTop w:val="0"/>
                  <w:marBottom w:val="0"/>
                  <w:divBdr>
                    <w:top w:val="none" w:sz="0" w:space="0" w:color="auto"/>
                    <w:left w:val="none" w:sz="0" w:space="0" w:color="auto"/>
                    <w:bottom w:val="none" w:sz="0" w:space="0" w:color="auto"/>
                    <w:right w:val="none" w:sz="0" w:space="0" w:color="auto"/>
                  </w:divBdr>
                  <w:divsChild>
                    <w:div w:id="16451122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1813131">
          <w:marLeft w:val="0"/>
          <w:marRight w:val="0"/>
          <w:marTop w:val="0"/>
          <w:marBottom w:val="0"/>
          <w:divBdr>
            <w:top w:val="none" w:sz="0" w:space="0" w:color="auto"/>
            <w:left w:val="none" w:sz="0" w:space="0" w:color="auto"/>
            <w:bottom w:val="none" w:sz="0" w:space="0" w:color="auto"/>
            <w:right w:val="none" w:sz="0" w:space="0" w:color="auto"/>
          </w:divBdr>
          <w:divsChild>
            <w:div w:id="1209955990">
              <w:marLeft w:val="0"/>
              <w:marRight w:val="0"/>
              <w:marTop w:val="0"/>
              <w:marBottom w:val="0"/>
              <w:divBdr>
                <w:top w:val="none" w:sz="0" w:space="0" w:color="auto"/>
                <w:left w:val="none" w:sz="0" w:space="0" w:color="auto"/>
                <w:bottom w:val="none" w:sz="0" w:space="0" w:color="auto"/>
                <w:right w:val="none" w:sz="0" w:space="0" w:color="auto"/>
              </w:divBdr>
              <w:divsChild>
                <w:div w:id="294415706">
                  <w:marLeft w:val="0"/>
                  <w:marRight w:val="0"/>
                  <w:marTop w:val="0"/>
                  <w:marBottom w:val="0"/>
                  <w:divBdr>
                    <w:top w:val="none" w:sz="0" w:space="0" w:color="auto"/>
                    <w:left w:val="none" w:sz="0" w:space="0" w:color="auto"/>
                    <w:bottom w:val="none" w:sz="0" w:space="0" w:color="auto"/>
                    <w:right w:val="none" w:sz="0" w:space="0" w:color="auto"/>
                  </w:divBdr>
                  <w:divsChild>
                    <w:div w:id="3333369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728984">
          <w:marLeft w:val="0"/>
          <w:marRight w:val="0"/>
          <w:marTop w:val="0"/>
          <w:marBottom w:val="0"/>
          <w:divBdr>
            <w:top w:val="none" w:sz="0" w:space="0" w:color="auto"/>
            <w:left w:val="none" w:sz="0" w:space="0" w:color="auto"/>
            <w:bottom w:val="none" w:sz="0" w:space="0" w:color="auto"/>
            <w:right w:val="none" w:sz="0" w:space="0" w:color="auto"/>
          </w:divBdr>
          <w:divsChild>
            <w:div w:id="700321486">
              <w:marLeft w:val="0"/>
              <w:marRight w:val="0"/>
              <w:marTop w:val="0"/>
              <w:marBottom w:val="0"/>
              <w:divBdr>
                <w:top w:val="none" w:sz="0" w:space="0" w:color="auto"/>
                <w:left w:val="none" w:sz="0" w:space="0" w:color="auto"/>
                <w:bottom w:val="none" w:sz="0" w:space="0" w:color="auto"/>
                <w:right w:val="none" w:sz="0" w:space="0" w:color="auto"/>
              </w:divBdr>
            </w:div>
          </w:divsChild>
        </w:div>
        <w:div w:id="992685607">
          <w:marLeft w:val="0"/>
          <w:marRight w:val="0"/>
          <w:marTop w:val="0"/>
          <w:marBottom w:val="0"/>
          <w:divBdr>
            <w:top w:val="none" w:sz="0" w:space="0" w:color="auto"/>
            <w:left w:val="none" w:sz="0" w:space="0" w:color="auto"/>
            <w:bottom w:val="none" w:sz="0" w:space="0" w:color="auto"/>
            <w:right w:val="none" w:sz="0" w:space="0" w:color="auto"/>
          </w:divBdr>
          <w:divsChild>
            <w:div w:id="135608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www.sciencedirect.com/topics/earth-and-planetary-sciences/electron-probe-analysis"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sciencedirect.com/topics/earth-and-planetary-sciences/supersaturation" TargetMode="External"/><Relationship Id="rId5" Type="http://schemas.openxmlformats.org/officeDocument/2006/relationships/hyperlink" Target="https://www.sciencedirect.com/topics/earth-and-planetary-sciences/atomic-force-microscopy" TargetMode="External"/><Relationship Id="rId4" Type="http://schemas.openxmlformats.org/officeDocument/2006/relationships/hyperlink" Target="https://doi.org/10.1016/j.gca.2005.04.006" TargetMode="Externa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5</Pages>
  <Words>2169</Words>
  <Characters>12367</Characters>
  <Application>Microsoft Office Word</Application>
  <DocSecurity>0</DocSecurity>
  <Lines>103</Lines>
  <Paragraphs>29</Paragraphs>
  <ScaleCrop>false</ScaleCrop>
  <Company/>
  <LinksUpToDate>false</LinksUpToDate>
  <CharactersWithSpaces>14507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2023-11-18T03:39:00Z</dcterms:created>
  <dcterms:modified xsi:type="dcterms:W3CDTF">2023-11-18T03:40:00Z</dcterms:modified>
</cp:coreProperties>
</file>