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DD3F4E" w:rsidRPr="00DD3F4E" w:rsidRDefault="00DD3F4E" w:rsidP="00DD3F4E">
      <w:pPr>
        <w:spacing w:before="100" w:beforeAutospacing="1" w:after="100" w:afterAutospacing="1" w:line="240" w:lineRule="auto"/>
        <w:outlineLvl w:val="0"/>
        <w:rPr>
          <w:rFonts w:ascii="Times New Roman" w:eastAsia="Times New Roman" w:hAnsi="Times New Roman" w:cs="Times New Roman"/>
          <w:b/>
          <w:bCs/>
          <w:kern w:val="36"/>
          <w:sz w:val="48"/>
          <w:szCs w:val="48"/>
        </w:rPr>
      </w:pPr>
      <w:r w:rsidRPr="00DD3F4E">
        <w:rPr>
          <w:rFonts w:ascii="Times New Roman" w:eastAsia="Times New Roman" w:hAnsi="Times New Roman" w:cs="Times New Roman"/>
          <w:b/>
          <w:bCs/>
          <w:kern w:val="36"/>
          <w:sz w:val="48"/>
          <w:szCs w:val="48"/>
        </w:rPr>
        <w:t>Geomagnetic field variations and the accumulation of in-situ cosmogenic nuclides in an eroding landform</w:t>
      </w:r>
    </w:p>
    <w:p w:rsidR="00DD3F4E" w:rsidRPr="00DD3F4E" w:rsidRDefault="00DD3F4E" w:rsidP="00DD3F4E">
      <w:pPr>
        <w:spacing w:after="0" w:line="240" w:lineRule="auto"/>
        <w:rPr>
          <w:rFonts w:ascii="Times New Roman" w:eastAsia="Times New Roman" w:hAnsi="Times New Roman" w:cs="Times New Roman"/>
          <w:sz w:val="24"/>
          <w:szCs w:val="24"/>
        </w:rPr>
      </w:pPr>
      <w:r w:rsidRPr="00DD3F4E">
        <w:rPr>
          <w:rFonts w:ascii="Times New Roman" w:eastAsia="Times New Roman" w:hAnsi="Times New Roman" w:cs="Times New Roman"/>
          <w:sz w:val="24"/>
          <w:szCs w:val="24"/>
        </w:rPr>
        <w:t>Author links open overlay panel</w:t>
      </w:r>
    </w:p>
    <w:p w:rsidR="00DD3F4E" w:rsidRPr="00DD3F4E" w:rsidRDefault="00DD3F4E" w:rsidP="00DD3F4E">
      <w:pPr>
        <w:spacing w:after="0" w:line="240" w:lineRule="auto"/>
        <w:rPr>
          <w:rFonts w:ascii="Times New Roman" w:eastAsia="Times New Roman" w:hAnsi="Times New Roman" w:cs="Times New Roman"/>
          <w:sz w:val="24"/>
          <w:szCs w:val="24"/>
        </w:rPr>
      </w:pPr>
      <w:hyperlink r:id="rId5" w:tgtFrame="_blank" w:tooltip="Persistent link using digital object identifier" w:history="1">
        <w:r w:rsidRPr="00DD3F4E">
          <w:rPr>
            <w:rFonts w:ascii="Times New Roman" w:eastAsia="Times New Roman" w:hAnsi="Times New Roman" w:cs="Times New Roman"/>
            <w:color w:val="0000FF"/>
            <w:sz w:val="24"/>
            <w:szCs w:val="24"/>
            <w:u w:val="single"/>
          </w:rPr>
          <w:t>https://doi.org/10.1016/j.gca.2004.12.027</w:t>
        </w:r>
      </w:hyperlink>
      <w:bookmarkStart w:id="0" w:name="_GoBack"/>
      <w:bookmarkEnd w:id="0"/>
      <w:r w:rsidRPr="00DD3F4E">
        <w:rPr>
          <w:rFonts w:ascii="Times New Roman" w:eastAsia="Times New Roman" w:hAnsi="Times New Roman" w:cs="Times New Roman"/>
          <w:sz w:val="24"/>
          <w:szCs w:val="24"/>
        </w:rPr>
        <w:t xml:space="preserve"> </w:t>
      </w:r>
    </w:p>
    <w:p w:rsidR="00DD3F4E" w:rsidRPr="00DD3F4E" w:rsidRDefault="00DD3F4E" w:rsidP="00DD3F4E">
      <w:pPr>
        <w:spacing w:before="100" w:beforeAutospacing="1" w:after="100" w:afterAutospacing="1" w:line="240" w:lineRule="auto"/>
        <w:outlineLvl w:val="1"/>
        <w:rPr>
          <w:rFonts w:ascii="Times New Roman" w:eastAsia="Times New Roman" w:hAnsi="Times New Roman" w:cs="Times New Roman"/>
          <w:b/>
          <w:bCs/>
          <w:sz w:val="36"/>
          <w:szCs w:val="36"/>
        </w:rPr>
      </w:pPr>
      <w:r w:rsidRPr="00DD3F4E">
        <w:rPr>
          <w:rFonts w:ascii="Times New Roman" w:eastAsia="Times New Roman" w:hAnsi="Times New Roman" w:cs="Times New Roman"/>
          <w:b/>
          <w:bCs/>
          <w:sz w:val="36"/>
          <w:szCs w:val="36"/>
        </w:rPr>
        <w:t>Abstract</w:t>
      </w:r>
    </w:p>
    <w:p w:rsidR="00DD3F4E" w:rsidRPr="00DD3F4E" w:rsidRDefault="00DD3F4E" w:rsidP="00DD3F4E">
      <w:pPr>
        <w:spacing w:before="100" w:beforeAutospacing="1" w:after="100" w:afterAutospacing="1" w:line="240" w:lineRule="auto"/>
        <w:rPr>
          <w:rFonts w:ascii="Times New Roman" w:eastAsia="Times New Roman" w:hAnsi="Times New Roman" w:cs="Times New Roman"/>
          <w:sz w:val="24"/>
          <w:szCs w:val="24"/>
        </w:rPr>
      </w:pPr>
      <w:r w:rsidRPr="00DD3F4E">
        <w:rPr>
          <w:rFonts w:ascii="Times New Roman" w:eastAsia="Times New Roman" w:hAnsi="Times New Roman" w:cs="Times New Roman"/>
          <w:sz w:val="24"/>
          <w:szCs w:val="24"/>
        </w:rPr>
        <w:t xml:space="preserve">The analysis of cosmogenic nuclides in an eroding surface yields information concerning erosion rates and exposure times. Such analysis requires accurate knowledge of the nuclide production rate at the site in question. Here we develop a relatively simple analytic model for the time variation of the production rate caused by fluctuations in the </w:t>
      </w:r>
      <w:hyperlink r:id="rId6" w:tooltip="Learn more about geomagnetic field from ScienceDirect's AI-generated Topic Pages" w:history="1">
        <w:r w:rsidRPr="00DD3F4E">
          <w:rPr>
            <w:rFonts w:ascii="Times New Roman" w:eastAsia="Times New Roman" w:hAnsi="Times New Roman" w:cs="Times New Roman"/>
            <w:color w:val="0000FF"/>
            <w:sz w:val="24"/>
            <w:szCs w:val="24"/>
            <w:u w:val="single"/>
          </w:rPr>
          <w:t>geomagnetic field</w:t>
        </w:r>
      </w:hyperlink>
      <w:r w:rsidRPr="00DD3F4E">
        <w:rPr>
          <w:rFonts w:ascii="Times New Roman" w:eastAsia="Times New Roman" w:hAnsi="Times New Roman" w:cs="Times New Roman"/>
          <w:sz w:val="24"/>
          <w:szCs w:val="24"/>
        </w:rPr>
        <w:t>. This model contains three parameters, which have a clear physical meaning and which provide a convenient way to quantify information on the production rate variations. We use this model to compute the buildup of nuclides in an eroding surface, and derive an analytic formula for the nuclide concentration as a function of the exposure time and the erosion rate. Several representative applications of our results are presented.</w:t>
      </w:r>
    </w:p>
    <w:p w:rsidR="00DD3F4E" w:rsidRPr="00DD3F4E" w:rsidRDefault="00DD3F4E" w:rsidP="00DD3F4E">
      <w:pPr>
        <w:spacing w:before="100" w:beforeAutospacing="1" w:after="100" w:afterAutospacing="1" w:line="240" w:lineRule="auto"/>
        <w:outlineLvl w:val="1"/>
        <w:rPr>
          <w:rFonts w:ascii="Times New Roman" w:eastAsia="Times New Roman" w:hAnsi="Times New Roman" w:cs="Times New Roman"/>
          <w:b/>
          <w:bCs/>
          <w:sz w:val="36"/>
          <w:szCs w:val="36"/>
        </w:rPr>
      </w:pPr>
      <w:r w:rsidRPr="00DD3F4E">
        <w:rPr>
          <w:rFonts w:ascii="Times New Roman" w:eastAsia="Times New Roman" w:hAnsi="Times New Roman" w:cs="Times New Roman"/>
          <w:b/>
          <w:bCs/>
          <w:sz w:val="36"/>
          <w:szCs w:val="36"/>
        </w:rPr>
        <w:t>Introduction</w:t>
      </w:r>
    </w:p>
    <w:p w:rsidR="00DD3F4E" w:rsidRPr="00DD3F4E" w:rsidRDefault="00DD3F4E" w:rsidP="00DD3F4E">
      <w:pPr>
        <w:spacing w:before="100" w:beforeAutospacing="1" w:after="100" w:afterAutospacing="1" w:line="240" w:lineRule="auto"/>
        <w:rPr>
          <w:rFonts w:ascii="Times New Roman" w:eastAsia="Times New Roman" w:hAnsi="Times New Roman" w:cs="Times New Roman"/>
          <w:sz w:val="24"/>
          <w:szCs w:val="24"/>
        </w:rPr>
      </w:pPr>
      <w:r w:rsidRPr="00DD3F4E">
        <w:rPr>
          <w:rFonts w:ascii="Times New Roman" w:eastAsia="Times New Roman" w:hAnsi="Times New Roman" w:cs="Times New Roman"/>
          <w:sz w:val="24"/>
          <w:szCs w:val="24"/>
        </w:rPr>
        <w:t xml:space="preserve">In-situ cosmogenic nuclides are being applied in a wide variety of geologic research efforts (Lal 1991, </w:t>
      </w:r>
      <w:proofErr w:type="spellStart"/>
      <w:r w:rsidRPr="00DD3F4E">
        <w:rPr>
          <w:rFonts w:ascii="Times New Roman" w:eastAsia="Times New Roman" w:hAnsi="Times New Roman" w:cs="Times New Roman"/>
          <w:sz w:val="24"/>
          <w:szCs w:val="24"/>
        </w:rPr>
        <w:t>Cerling</w:t>
      </w:r>
      <w:proofErr w:type="spellEnd"/>
      <w:r w:rsidRPr="00DD3F4E">
        <w:rPr>
          <w:rFonts w:ascii="Times New Roman" w:eastAsia="Times New Roman" w:hAnsi="Times New Roman" w:cs="Times New Roman"/>
          <w:sz w:val="24"/>
          <w:szCs w:val="24"/>
        </w:rPr>
        <w:t xml:space="preserve"> and Craig 1994, </w:t>
      </w:r>
      <w:proofErr w:type="spellStart"/>
      <w:r w:rsidRPr="00DD3F4E">
        <w:rPr>
          <w:rFonts w:ascii="Times New Roman" w:eastAsia="Times New Roman" w:hAnsi="Times New Roman" w:cs="Times New Roman"/>
          <w:sz w:val="24"/>
          <w:szCs w:val="24"/>
        </w:rPr>
        <w:t>Kurz</w:t>
      </w:r>
      <w:proofErr w:type="spellEnd"/>
      <w:r w:rsidRPr="00DD3F4E">
        <w:rPr>
          <w:rFonts w:ascii="Times New Roman" w:eastAsia="Times New Roman" w:hAnsi="Times New Roman" w:cs="Times New Roman"/>
          <w:sz w:val="24"/>
          <w:szCs w:val="24"/>
        </w:rPr>
        <w:t xml:space="preserve"> and Brook 1994, Gross and Philips 2001, </w:t>
      </w:r>
      <w:proofErr w:type="spellStart"/>
      <w:r w:rsidRPr="00DD3F4E">
        <w:rPr>
          <w:rFonts w:ascii="Times New Roman" w:eastAsia="Times New Roman" w:hAnsi="Times New Roman" w:cs="Times New Roman"/>
          <w:sz w:val="24"/>
          <w:szCs w:val="24"/>
        </w:rPr>
        <w:t>Muzika</w:t>
      </w:r>
      <w:proofErr w:type="spellEnd"/>
      <w:r w:rsidRPr="00DD3F4E">
        <w:rPr>
          <w:rFonts w:ascii="Times New Roman" w:eastAsia="Times New Roman" w:hAnsi="Times New Roman" w:cs="Times New Roman"/>
          <w:sz w:val="24"/>
          <w:szCs w:val="24"/>
        </w:rPr>
        <w:t xml:space="preserve"> et al 2003). Commonly used nuclides include both stable (</w:t>
      </w:r>
      <w:r w:rsidRPr="00DD3F4E">
        <w:rPr>
          <w:rFonts w:ascii="Times New Roman" w:eastAsia="Times New Roman" w:hAnsi="Times New Roman" w:cs="Times New Roman"/>
          <w:sz w:val="24"/>
          <w:szCs w:val="24"/>
          <w:vertAlign w:val="superscript"/>
        </w:rPr>
        <w:t>3</w:t>
      </w:r>
      <w:r w:rsidRPr="00DD3F4E">
        <w:rPr>
          <w:rFonts w:ascii="Times New Roman" w:eastAsia="Times New Roman" w:hAnsi="Times New Roman" w:cs="Times New Roman"/>
          <w:sz w:val="24"/>
          <w:szCs w:val="24"/>
        </w:rPr>
        <w:t xml:space="preserve">He and </w:t>
      </w:r>
      <w:r w:rsidRPr="00DD3F4E">
        <w:rPr>
          <w:rFonts w:ascii="Times New Roman" w:eastAsia="Times New Roman" w:hAnsi="Times New Roman" w:cs="Times New Roman"/>
          <w:sz w:val="24"/>
          <w:szCs w:val="24"/>
          <w:vertAlign w:val="superscript"/>
        </w:rPr>
        <w:t>21</w:t>
      </w:r>
      <w:r w:rsidRPr="00DD3F4E">
        <w:rPr>
          <w:rFonts w:ascii="Times New Roman" w:eastAsia="Times New Roman" w:hAnsi="Times New Roman" w:cs="Times New Roman"/>
          <w:sz w:val="24"/>
          <w:szCs w:val="24"/>
        </w:rPr>
        <w:t>Ne) and unstable (</w:t>
      </w:r>
      <w:r w:rsidRPr="00DD3F4E">
        <w:rPr>
          <w:rFonts w:ascii="Times New Roman" w:eastAsia="Times New Roman" w:hAnsi="Times New Roman" w:cs="Times New Roman"/>
          <w:sz w:val="24"/>
          <w:szCs w:val="24"/>
          <w:vertAlign w:val="superscript"/>
        </w:rPr>
        <w:t>10</w:t>
      </w:r>
      <w:r w:rsidRPr="00DD3F4E">
        <w:rPr>
          <w:rFonts w:ascii="Times New Roman" w:eastAsia="Times New Roman" w:hAnsi="Times New Roman" w:cs="Times New Roman"/>
          <w:sz w:val="24"/>
          <w:szCs w:val="24"/>
        </w:rPr>
        <w:t xml:space="preserve">Be, </w:t>
      </w:r>
      <w:r w:rsidRPr="00DD3F4E">
        <w:rPr>
          <w:rFonts w:ascii="Times New Roman" w:eastAsia="Times New Roman" w:hAnsi="Times New Roman" w:cs="Times New Roman"/>
          <w:sz w:val="24"/>
          <w:szCs w:val="24"/>
          <w:vertAlign w:val="superscript"/>
        </w:rPr>
        <w:t>26</w:t>
      </w:r>
      <w:r w:rsidRPr="00DD3F4E">
        <w:rPr>
          <w:rFonts w:ascii="Times New Roman" w:eastAsia="Times New Roman" w:hAnsi="Times New Roman" w:cs="Times New Roman"/>
          <w:sz w:val="24"/>
          <w:szCs w:val="24"/>
        </w:rPr>
        <w:t xml:space="preserve">Al, and </w:t>
      </w:r>
      <w:r w:rsidRPr="00DD3F4E">
        <w:rPr>
          <w:rFonts w:ascii="Times New Roman" w:eastAsia="Times New Roman" w:hAnsi="Times New Roman" w:cs="Times New Roman"/>
          <w:sz w:val="24"/>
          <w:szCs w:val="24"/>
          <w:vertAlign w:val="superscript"/>
        </w:rPr>
        <w:t>36</w:t>
      </w:r>
      <w:r w:rsidRPr="00DD3F4E">
        <w:rPr>
          <w:rFonts w:ascii="Times New Roman" w:eastAsia="Times New Roman" w:hAnsi="Times New Roman" w:cs="Times New Roman"/>
          <w:sz w:val="24"/>
          <w:szCs w:val="24"/>
        </w:rPr>
        <w:t xml:space="preserve">Cl) ones. In order to use the nuclide concentrations in the rock samples to make geologically interesting inferences, the production rate for the nuclide of interest at the sample site must be known with sufficient accuracy. This rate depends on many factors, including latitude, altitude, rock type, and the magnetic fields generated by the earth and the solar wind (Dunai 2000, Lal 2000, </w:t>
      </w:r>
      <w:proofErr w:type="spellStart"/>
      <w:r w:rsidRPr="00DD3F4E">
        <w:rPr>
          <w:rFonts w:ascii="Times New Roman" w:eastAsia="Times New Roman" w:hAnsi="Times New Roman" w:cs="Times New Roman"/>
          <w:sz w:val="24"/>
          <w:szCs w:val="24"/>
        </w:rPr>
        <w:t>Desilets</w:t>
      </w:r>
      <w:proofErr w:type="spellEnd"/>
      <w:r w:rsidRPr="00DD3F4E">
        <w:rPr>
          <w:rFonts w:ascii="Times New Roman" w:eastAsia="Times New Roman" w:hAnsi="Times New Roman" w:cs="Times New Roman"/>
          <w:sz w:val="24"/>
          <w:szCs w:val="24"/>
        </w:rPr>
        <w:t xml:space="preserve"> 2001, Gross and Philips 2001, </w:t>
      </w:r>
      <w:proofErr w:type="spellStart"/>
      <w:r w:rsidRPr="00DD3F4E">
        <w:rPr>
          <w:rFonts w:ascii="Times New Roman" w:eastAsia="Times New Roman" w:hAnsi="Times New Roman" w:cs="Times New Roman"/>
          <w:sz w:val="24"/>
          <w:szCs w:val="24"/>
        </w:rPr>
        <w:t>Masarik</w:t>
      </w:r>
      <w:proofErr w:type="spellEnd"/>
      <w:r w:rsidRPr="00DD3F4E">
        <w:rPr>
          <w:rFonts w:ascii="Times New Roman" w:eastAsia="Times New Roman" w:hAnsi="Times New Roman" w:cs="Times New Roman"/>
          <w:sz w:val="24"/>
          <w:szCs w:val="24"/>
        </w:rPr>
        <w:t xml:space="preserve"> et al 2001, </w:t>
      </w:r>
      <w:proofErr w:type="spellStart"/>
      <w:r w:rsidRPr="00DD3F4E">
        <w:rPr>
          <w:rFonts w:ascii="Times New Roman" w:eastAsia="Times New Roman" w:hAnsi="Times New Roman" w:cs="Times New Roman"/>
          <w:sz w:val="24"/>
          <w:szCs w:val="24"/>
        </w:rPr>
        <w:t>Desilets</w:t>
      </w:r>
      <w:proofErr w:type="spellEnd"/>
      <w:r w:rsidRPr="00DD3F4E">
        <w:rPr>
          <w:rFonts w:ascii="Times New Roman" w:eastAsia="Times New Roman" w:hAnsi="Times New Roman" w:cs="Times New Roman"/>
          <w:sz w:val="24"/>
          <w:szCs w:val="24"/>
        </w:rPr>
        <w:t xml:space="preserve"> and </w:t>
      </w:r>
      <w:proofErr w:type="spellStart"/>
      <w:r w:rsidRPr="00DD3F4E">
        <w:rPr>
          <w:rFonts w:ascii="Times New Roman" w:eastAsia="Times New Roman" w:hAnsi="Times New Roman" w:cs="Times New Roman"/>
          <w:sz w:val="24"/>
          <w:szCs w:val="24"/>
        </w:rPr>
        <w:t>Zreda</w:t>
      </w:r>
      <w:proofErr w:type="spellEnd"/>
      <w:r w:rsidRPr="00DD3F4E">
        <w:rPr>
          <w:rFonts w:ascii="Times New Roman" w:eastAsia="Times New Roman" w:hAnsi="Times New Roman" w:cs="Times New Roman"/>
          <w:sz w:val="24"/>
          <w:szCs w:val="24"/>
        </w:rPr>
        <w:t xml:space="preserve"> 2003).</w:t>
      </w:r>
    </w:p>
    <w:p w:rsidR="00DD3F4E" w:rsidRPr="00DD3F4E" w:rsidRDefault="00DD3F4E" w:rsidP="00DD3F4E">
      <w:pPr>
        <w:spacing w:before="100" w:beforeAutospacing="1" w:after="100" w:afterAutospacing="1" w:line="240" w:lineRule="auto"/>
        <w:rPr>
          <w:rFonts w:ascii="Times New Roman" w:eastAsia="Times New Roman" w:hAnsi="Times New Roman" w:cs="Times New Roman"/>
          <w:sz w:val="24"/>
          <w:szCs w:val="24"/>
        </w:rPr>
      </w:pPr>
      <w:r w:rsidRPr="00DD3F4E">
        <w:rPr>
          <w:rFonts w:ascii="Times New Roman" w:eastAsia="Times New Roman" w:hAnsi="Times New Roman" w:cs="Times New Roman"/>
          <w:sz w:val="24"/>
          <w:szCs w:val="24"/>
        </w:rPr>
        <w:t>Over the past million years, the geomagnetic field has fluctuated quite significantly on a variety of time scales (</w:t>
      </w:r>
      <w:proofErr w:type="spellStart"/>
      <w:r w:rsidRPr="00DD3F4E">
        <w:rPr>
          <w:rFonts w:ascii="Times New Roman" w:eastAsia="Times New Roman" w:hAnsi="Times New Roman" w:cs="Times New Roman"/>
          <w:sz w:val="24"/>
          <w:szCs w:val="24"/>
        </w:rPr>
        <w:t>Guyodo</w:t>
      </w:r>
      <w:proofErr w:type="spellEnd"/>
      <w:r w:rsidRPr="00DD3F4E">
        <w:rPr>
          <w:rFonts w:ascii="Times New Roman" w:eastAsia="Times New Roman" w:hAnsi="Times New Roman" w:cs="Times New Roman"/>
          <w:sz w:val="24"/>
          <w:szCs w:val="24"/>
        </w:rPr>
        <w:t xml:space="preserve"> and Valet, 1999). These fluctuations lead to a time-dependent production rate at any particular location. In this paper we discuss how to calculate the buildup of cosmogenic nuclides in a steadily eroding landform, when the production varies with time owing to the changing geomagnetic field.</w:t>
      </w:r>
    </w:p>
    <w:p w:rsidR="00DD3F4E" w:rsidRPr="00DD3F4E" w:rsidRDefault="00DD3F4E" w:rsidP="00DD3F4E">
      <w:pPr>
        <w:spacing w:before="100" w:beforeAutospacing="1" w:after="100" w:afterAutospacing="1" w:line="240" w:lineRule="auto"/>
        <w:rPr>
          <w:rFonts w:ascii="Times New Roman" w:eastAsia="Times New Roman" w:hAnsi="Times New Roman" w:cs="Times New Roman"/>
          <w:sz w:val="24"/>
          <w:szCs w:val="24"/>
        </w:rPr>
      </w:pPr>
      <w:r w:rsidRPr="00DD3F4E">
        <w:rPr>
          <w:rFonts w:ascii="Times New Roman" w:eastAsia="Times New Roman" w:hAnsi="Times New Roman" w:cs="Times New Roman"/>
          <w:sz w:val="24"/>
          <w:szCs w:val="24"/>
        </w:rPr>
        <w:t xml:space="preserve">If one has a detailed knowledge of the geomagnetic field fluctuations as a function of time, this information can be used to construct a similarly detailed model for the production rate at the location of interest (e.g., Bierman and Clapp 1996, Shanahan and </w:t>
      </w:r>
      <w:proofErr w:type="spellStart"/>
      <w:r w:rsidRPr="00DD3F4E">
        <w:rPr>
          <w:rFonts w:ascii="Times New Roman" w:eastAsia="Times New Roman" w:hAnsi="Times New Roman" w:cs="Times New Roman"/>
          <w:sz w:val="24"/>
          <w:szCs w:val="24"/>
        </w:rPr>
        <w:t>Zreda</w:t>
      </w:r>
      <w:proofErr w:type="spellEnd"/>
      <w:r w:rsidRPr="00DD3F4E">
        <w:rPr>
          <w:rFonts w:ascii="Times New Roman" w:eastAsia="Times New Roman" w:hAnsi="Times New Roman" w:cs="Times New Roman"/>
          <w:sz w:val="24"/>
          <w:szCs w:val="24"/>
        </w:rPr>
        <w:t xml:space="preserve"> 2000). However, such an approach may be unnecessary or impractical in many cases. It would be advantageous to have an analytically tractable, generic model that captures the main features of the problem in a simple way. Thus, our goals in this paper are as follows.</w:t>
      </w:r>
    </w:p>
    <w:p w:rsidR="00DD3F4E" w:rsidRPr="00DD3F4E" w:rsidRDefault="00DD3F4E" w:rsidP="00DD3F4E">
      <w:pPr>
        <w:numPr>
          <w:ilvl w:val="0"/>
          <w:numId w:val="1"/>
        </w:numPr>
        <w:spacing w:before="100" w:beforeAutospacing="1" w:after="100" w:afterAutospacing="1" w:line="240" w:lineRule="auto"/>
        <w:rPr>
          <w:rFonts w:ascii="Times New Roman" w:eastAsia="Times New Roman" w:hAnsi="Times New Roman" w:cs="Times New Roman"/>
          <w:sz w:val="24"/>
          <w:szCs w:val="24"/>
        </w:rPr>
      </w:pPr>
      <w:r w:rsidRPr="00DD3F4E">
        <w:rPr>
          <w:rFonts w:ascii="Times New Roman" w:eastAsia="Times New Roman" w:hAnsi="Times New Roman" w:cs="Times New Roman"/>
          <w:sz w:val="24"/>
          <w:szCs w:val="24"/>
        </w:rPr>
        <w:t>•</w:t>
      </w:r>
    </w:p>
    <w:p w:rsidR="00DD3F4E" w:rsidRPr="00DD3F4E" w:rsidRDefault="00DD3F4E" w:rsidP="00DD3F4E">
      <w:pPr>
        <w:spacing w:before="100" w:beforeAutospacing="1" w:after="100" w:afterAutospacing="1" w:line="240" w:lineRule="auto"/>
        <w:ind w:left="720"/>
        <w:rPr>
          <w:rFonts w:ascii="Times New Roman" w:eastAsia="Times New Roman" w:hAnsi="Times New Roman" w:cs="Times New Roman"/>
          <w:sz w:val="24"/>
          <w:szCs w:val="24"/>
        </w:rPr>
      </w:pPr>
      <w:r w:rsidRPr="00DD3F4E">
        <w:rPr>
          <w:rFonts w:ascii="Times New Roman" w:eastAsia="Times New Roman" w:hAnsi="Times New Roman" w:cs="Times New Roman"/>
          <w:sz w:val="24"/>
          <w:szCs w:val="24"/>
        </w:rPr>
        <w:lastRenderedPageBreak/>
        <w:t>Using the insights gained from previous studies (</w:t>
      </w:r>
      <w:proofErr w:type="spellStart"/>
      <w:r w:rsidRPr="00DD3F4E">
        <w:rPr>
          <w:rFonts w:ascii="Times New Roman" w:eastAsia="Times New Roman" w:hAnsi="Times New Roman" w:cs="Times New Roman"/>
          <w:sz w:val="24"/>
          <w:szCs w:val="24"/>
        </w:rPr>
        <w:t>Desilets</w:t>
      </w:r>
      <w:proofErr w:type="spellEnd"/>
      <w:r w:rsidRPr="00DD3F4E">
        <w:rPr>
          <w:rFonts w:ascii="Times New Roman" w:eastAsia="Times New Roman" w:hAnsi="Times New Roman" w:cs="Times New Roman"/>
          <w:sz w:val="24"/>
          <w:szCs w:val="24"/>
        </w:rPr>
        <w:t xml:space="preserve"> 2001, Dunai 2001, Gross and Philips 2001, </w:t>
      </w:r>
      <w:proofErr w:type="spellStart"/>
      <w:r w:rsidRPr="00DD3F4E">
        <w:rPr>
          <w:rFonts w:ascii="Times New Roman" w:eastAsia="Times New Roman" w:hAnsi="Times New Roman" w:cs="Times New Roman"/>
          <w:sz w:val="24"/>
          <w:szCs w:val="24"/>
        </w:rPr>
        <w:t>Masarik</w:t>
      </w:r>
      <w:proofErr w:type="spellEnd"/>
      <w:r w:rsidRPr="00DD3F4E">
        <w:rPr>
          <w:rFonts w:ascii="Times New Roman" w:eastAsia="Times New Roman" w:hAnsi="Times New Roman" w:cs="Times New Roman"/>
          <w:sz w:val="24"/>
          <w:szCs w:val="24"/>
        </w:rPr>
        <w:t xml:space="preserve"> et al 2001, </w:t>
      </w:r>
      <w:proofErr w:type="spellStart"/>
      <w:r w:rsidRPr="00DD3F4E">
        <w:rPr>
          <w:rFonts w:ascii="Times New Roman" w:eastAsia="Times New Roman" w:hAnsi="Times New Roman" w:cs="Times New Roman"/>
          <w:sz w:val="24"/>
          <w:szCs w:val="24"/>
        </w:rPr>
        <w:t>Desilets</w:t>
      </w:r>
      <w:proofErr w:type="spellEnd"/>
      <w:r w:rsidRPr="00DD3F4E">
        <w:rPr>
          <w:rFonts w:ascii="Times New Roman" w:eastAsia="Times New Roman" w:hAnsi="Times New Roman" w:cs="Times New Roman"/>
          <w:sz w:val="24"/>
          <w:szCs w:val="24"/>
        </w:rPr>
        <w:t xml:space="preserve"> and </w:t>
      </w:r>
      <w:proofErr w:type="spellStart"/>
      <w:r w:rsidRPr="00DD3F4E">
        <w:rPr>
          <w:rFonts w:ascii="Times New Roman" w:eastAsia="Times New Roman" w:hAnsi="Times New Roman" w:cs="Times New Roman"/>
          <w:sz w:val="24"/>
          <w:szCs w:val="24"/>
        </w:rPr>
        <w:t>Zreda</w:t>
      </w:r>
      <w:proofErr w:type="spellEnd"/>
      <w:r w:rsidRPr="00DD3F4E">
        <w:rPr>
          <w:rFonts w:ascii="Times New Roman" w:eastAsia="Times New Roman" w:hAnsi="Times New Roman" w:cs="Times New Roman"/>
          <w:sz w:val="24"/>
          <w:szCs w:val="24"/>
        </w:rPr>
        <w:t xml:space="preserve"> 2003), we develop a relatively simple analytic model to describe the effects of the field variations on the production rate. In our model, all the complications are incorporated in three parameters (</w:t>
      </w:r>
      <w:r w:rsidRPr="00DD3F4E">
        <w:rPr>
          <w:rFonts w:ascii="Times New Roman" w:eastAsia="Times New Roman" w:hAnsi="Times New Roman" w:cs="Times New Roman"/>
          <w:i/>
          <w:iCs/>
          <w:sz w:val="24"/>
          <w:szCs w:val="24"/>
        </w:rPr>
        <w:t>A, t</w:t>
      </w:r>
      <w:r w:rsidRPr="00DD3F4E">
        <w:rPr>
          <w:rFonts w:ascii="Times New Roman" w:eastAsia="Times New Roman" w:hAnsi="Times New Roman" w:cs="Times New Roman"/>
          <w:sz w:val="24"/>
          <w:szCs w:val="24"/>
          <w:vertAlign w:val="subscript"/>
        </w:rPr>
        <w:t>1</w:t>
      </w:r>
      <w:r w:rsidRPr="00DD3F4E">
        <w:rPr>
          <w:rFonts w:ascii="Times New Roman" w:eastAsia="Times New Roman" w:hAnsi="Times New Roman" w:cs="Times New Roman"/>
          <w:sz w:val="24"/>
          <w:szCs w:val="24"/>
        </w:rPr>
        <w:t xml:space="preserve">, and </w:t>
      </w:r>
      <w:r w:rsidRPr="00DD3F4E">
        <w:rPr>
          <w:rFonts w:ascii="Times New Roman" w:eastAsia="Times New Roman" w:hAnsi="Times New Roman" w:cs="Times New Roman"/>
          <w:i/>
          <w:iCs/>
          <w:sz w:val="24"/>
          <w:szCs w:val="24"/>
        </w:rPr>
        <w:t>b</w:t>
      </w:r>
      <w:r w:rsidRPr="00DD3F4E">
        <w:rPr>
          <w:rFonts w:ascii="Times New Roman" w:eastAsia="Times New Roman" w:hAnsi="Times New Roman" w:cs="Times New Roman"/>
          <w:sz w:val="24"/>
          <w:szCs w:val="24"/>
        </w:rPr>
        <w:t xml:space="preserve">). These parameters are in general site dependent, but only </w:t>
      </w:r>
      <w:r w:rsidRPr="00DD3F4E">
        <w:rPr>
          <w:rFonts w:ascii="Times New Roman" w:eastAsia="Times New Roman" w:hAnsi="Times New Roman" w:cs="Times New Roman"/>
          <w:i/>
          <w:iCs/>
          <w:sz w:val="24"/>
          <w:szCs w:val="24"/>
        </w:rPr>
        <w:t>A</w:t>
      </w:r>
      <w:r w:rsidRPr="00DD3F4E">
        <w:rPr>
          <w:rFonts w:ascii="Times New Roman" w:eastAsia="Times New Roman" w:hAnsi="Times New Roman" w:cs="Times New Roman"/>
          <w:sz w:val="24"/>
          <w:szCs w:val="24"/>
        </w:rPr>
        <w:t xml:space="preserve"> should have a strong site dependence.</w:t>
      </w:r>
    </w:p>
    <w:p w:rsidR="00DD3F4E" w:rsidRPr="00DD3F4E" w:rsidRDefault="00DD3F4E" w:rsidP="00DD3F4E">
      <w:pPr>
        <w:numPr>
          <w:ilvl w:val="0"/>
          <w:numId w:val="1"/>
        </w:numPr>
        <w:spacing w:before="100" w:beforeAutospacing="1" w:after="100" w:afterAutospacing="1" w:line="240" w:lineRule="auto"/>
        <w:rPr>
          <w:rFonts w:ascii="Times New Roman" w:eastAsia="Times New Roman" w:hAnsi="Times New Roman" w:cs="Times New Roman"/>
          <w:sz w:val="24"/>
          <w:szCs w:val="24"/>
        </w:rPr>
      </w:pPr>
      <w:r w:rsidRPr="00DD3F4E">
        <w:rPr>
          <w:rFonts w:ascii="Times New Roman" w:eastAsia="Times New Roman" w:hAnsi="Times New Roman" w:cs="Times New Roman"/>
          <w:sz w:val="24"/>
          <w:szCs w:val="24"/>
        </w:rPr>
        <w:t>•</w:t>
      </w:r>
    </w:p>
    <w:p w:rsidR="00DD3F4E" w:rsidRPr="00DD3F4E" w:rsidRDefault="00DD3F4E" w:rsidP="00DD3F4E">
      <w:pPr>
        <w:spacing w:before="100" w:beforeAutospacing="1" w:after="100" w:afterAutospacing="1" w:line="240" w:lineRule="auto"/>
        <w:ind w:left="720"/>
        <w:rPr>
          <w:rFonts w:ascii="Times New Roman" w:eastAsia="Times New Roman" w:hAnsi="Times New Roman" w:cs="Times New Roman"/>
          <w:sz w:val="24"/>
          <w:szCs w:val="24"/>
        </w:rPr>
      </w:pPr>
      <w:r w:rsidRPr="00DD3F4E">
        <w:rPr>
          <w:rFonts w:ascii="Times New Roman" w:eastAsia="Times New Roman" w:hAnsi="Times New Roman" w:cs="Times New Roman"/>
          <w:sz w:val="24"/>
          <w:szCs w:val="24"/>
        </w:rPr>
        <w:t>We then use this model to calculate the buildup of a cosmogenic nuclide in an eroding landform. While the general analytic formula we derive (Eqn. 10) is somewhat messy, it is simple to program, and accounts for production rate variations via the three parameters. It includes the effects of nuclear decay and erosion, and can be used in any exposure age calculations in the same way that the simpler usual expression (i.e., Eqn. 11) is used. Useful limiting cases of the general formula (Eqns. (12), (13)) are much less complex.</w:t>
      </w:r>
    </w:p>
    <w:p w:rsidR="00DD3F4E" w:rsidRPr="00DD3F4E" w:rsidRDefault="00DD3F4E" w:rsidP="00DD3F4E">
      <w:pPr>
        <w:spacing w:before="100" w:beforeAutospacing="1" w:after="100" w:afterAutospacing="1" w:line="240" w:lineRule="auto"/>
        <w:rPr>
          <w:rFonts w:ascii="Times New Roman" w:eastAsia="Times New Roman" w:hAnsi="Times New Roman" w:cs="Times New Roman"/>
          <w:sz w:val="24"/>
          <w:szCs w:val="24"/>
        </w:rPr>
      </w:pPr>
      <w:r w:rsidRPr="00DD3F4E">
        <w:rPr>
          <w:rFonts w:ascii="Times New Roman" w:eastAsia="Times New Roman" w:hAnsi="Times New Roman" w:cs="Times New Roman"/>
          <w:sz w:val="24"/>
          <w:szCs w:val="24"/>
        </w:rPr>
        <w:t xml:space="preserve">One point that should be stressed is that our formulation is meant to apply to exposure times that are longer than about 15–20 </w:t>
      </w:r>
      <w:proofErr w:type="spellStart"/>
      <w:r w:rsidRPr="00DD3F4E">
        <w:rPr>
          <w:rFonts w:ascii="Times New Roman" w:eastAsia="Times New Roman" w:hAnsi="Times New Roman" w:cs="Times New Roman"/>
          <w:sz w:val="24"/>
          <w:szCs w:val="24"/>
        </w:rPr>
        <w:t>kyr</w:t>
      </w:r>
      <w:proofErr w:type="spellEnd"/>
      <w:r w:rsidRPr="00DD3F4E">
        <w:rPr>
          <w:rFonts w:ascii="Times New Roman" w:eastAsia="Times New Roman" w:hAnsi="Times New Roman" w:cs="Times New Roman"/>
          <w:sz w:val="24"/>
          <w:szCs w:val="24"/>
        </w:rPr>
        <w:t xml:space="preserve"> (i.e., longer than several times </w:t>
      </w:r>
      <w:r w:rsidRPr="00DD3F4E">
        <w:rPr>
          <w:rFonts w:ascii="Times New Roman" w:eastAsia="Times New Roman" w:hAnsi="Times New Roman" w:cs="Times New Roman"/>
          <w:i/>
          <w:iCs/>
          <w:sz w:val="24"/>
          <w:szCs w:val="24"/>
        </w:rPr>
        <w:t>t</w:t>
      </w:r>
      <w:r w:rsidRPr="00DD3F4E">
        <w:rPr>
          <w:rFonts w:ascii="Times New Roman" w:eastAsia="Times New Roman" w:hAnsi="Times New Roman" w:cs="Times New Roman"/>
          <w:sz w:val="24"/>
          <w:szCs w:val="24"/>
          <w:vertAlign w:val="subscript"/>
        </w:rPr>
        <w:t>1</w:t>
      </w:r>
      <w:r w:rsidRPr="00DD3F4E">
        <w:rPr>
          <w:rFonts w:ascii="Times New Roman" w:eastAsia="Times New Roman" w:hAnsi="Times New Roman" w:cs="Times New Roman"/>
          <w:sz w:val="24"/>
          <w:szCs w:val="24"/>
        </w:rPr>
        <w:t>). The more recent fluctuations in the production rate are averaged out in our approach, and such short-term fluctuations can be important in cases of short exposure times.</w:t>
      </w:r>
    </w:p>
    <w:p w:rsidR="00DD3F4E" w:rsidRPr="00DD3F4E" w:rsidRDefault="00DD3F4E" w:rsidP="00DD3F4E">
      <w:pPr>
        <w:spacing w:before="100" w:beforeAutospacing="1" w:after="100" w:afterAutospacing="1" w:line="240" w:lineRule="auto"/>
        <w:rPr>
          <w:rFonts w:ascii="Times New Roman" w:eastAsia="Times New Roman" w:hAnsi="Times New Roman" w:cs="Times New Roman"/>
          <w:sz w:val="24"/>
          <w:szCs w:val="24"/>
        </w:rPr>
      </w:pPr>
      <w:r w:rsidRPr="00DD3F4E">
        <w:rPr>
          <w:rFonts w:ascii="Times New Roman" w:eastAsia="Times New Roman" w:hAnsi="Times New Roman" w:cs="Times New Roman"/>
          <w:sz w:val="24"/>
          <w:szCs w:val="24"/>
        </w:rPr>
        <w:t xml:space="preserve">The overall accuracy of our equations in accounting for production rate variations is difficult to judge precisely at this point. The fit to the calculation of </w:t>
      </w:r>
      <w:proofErr w:type="spellStart"/>
      <w:r w:rsidRPr="00DD3F4E">
        <w:rPr>
          <w:rFonts w:ascii="Times New Roman" w:eastAsia="Times New Roman" w:hAnsi="Times New Roman" w:cs="Times New Roman"/>
          <w:sz w:val="24"/>
          <w:szCs w:val="24"/>
        </w:rPr>
        <w:t>Masarik</w:t>
      </w:r>
      <w:proofErr w:type="spellEnd"/>
      <w:r w:rsidRPr="00DD3F4E">
        <w:rPr>
          <w:rFonts w:ascii="Times New Roman" w:eastAsia="Times New Roman" w:hAnsi="Times New Roman" w:cs="Times New Roman"/>
          <w:sz w:val="24"/>
          <w:szCs w:val="24"/>
        </w:rPr>
        <w:t xml:space="preserve"> et al. (2001) discussed in section 3, suggests that a maximum error of a few percent may be achievable.</w:t>
      </w:r>
    </w:p>
    <w:p w:rsidR="00DD3F4E" w:rsidRPr="00DD3F4E" w:rsidRDefault="00DD3F4E" w:rsidP="00DD3F4E">
      <w:pPr>
        <w:spacing w:before="100" w:beforeAutospacing="1" w:after="100" w:afterAutospacing="1" w:line="240" w:lineRule="auto"/>
        <w:rPr>
          <w:rFonts w:ascii="Times New Roman" w:eastAsia="Times New Roman" w:hAnsi="Times New Roman" w:cs="Times New Roman"/>
          <w:sz w:val="24"/>
          <w:szCs w:val="24"/>
        </w:rPr>
      </w:pPr>
      <w:r w:rsidRPr="00DD3F4E">
        <w:rPr>
          <w:rFonts w:ascii="Times New Roman" w:eastAsia="Times New Roman" w:hAnsi="Times New Roman" w:cs="Times New Roman"/>
          <w:sz w:val="24"/>
          <w:szCs w:val="24"/>
        </w:rPr>
        <w:t xml:space="preserve">If this approach to production rate fluctuations proves to be useful, work could be done to compile tables of the parameters </w:t>
      </w:r>
      <w:r w:rsidRPr="00DD3F4E">
        <w:rPr>
          <w:rFonts w:ascii="Times New Roman" w:eastAsia="Times New Roman" w:hAnsi="Times New Roman" w:cs="Times New Roman"/>
          <w:i/>
          <w:iCs/>
          <w:sz w:val="24"/>
          <w:szCs w:val="24"/>
        </w:rPr>
        <w:t>A, b</w:t>
      </w:r>
      <w:r w:rsidRPr="00DD3F4E">
        <w:rPr>
          <w:rFonts w:ascii="Times New Roman" w:eastAsia="Times New Roman" w:hAnsi="Times New Roman" w:cs="Times New Roman"/>
          <w:sz w:val="24"/>
          <w:szCs w:val="24"/>
        </w:rPr>
        <w:t xml:space="preserve">, and </w:t>
      </w:r>
      <w:r w:rsidRPr="00DD3F4E">
        <w:rPr>
          <w:rFonts w:ascii="Times New Roman" w:eastAsia="Times New Roman" w:hAnsi="Times New Roman" w:cs="Times New Roman"/>
          <w:i/>
          <w:iCs/>
          <w:sz w:val="24"/>
          <w:szCs w:val="24"/>
        </w:rPr>
        <w:t>t</w:t>
      </w:r>
      <w:r w:rsidRPr="00DD3F4E">
        <w:rPr>
          <w:rFonts w:ascii="Times New Roman" w:eastAsia="Times New Roman" w:hAnsi="Times New Roman" w:cs="Times New Roman"/>
          <w:sz w:val="24"/>
          <w:szCs w:val="24"/>
          <w:vertAlign w:val="subscript"/>
        </w:rPr>
        <w:t>1</w:t>
      </w:r>
      <w:r w:rsidRPr="00DD3F4E">
        <w:rPr>
          <w:rFonts w:ascii="Times New Roman" w:eastAsia="Times New Roman" w:hAnsi="Times New Roman" w:cs="Times New Roman"/>
          <w:sz w:val="24"/>
          <w:szCs w:val="24"/>
        </w:rPr>
        <w:t xml:space="preserve"> as functions of latitude and altitude. We would expect a negligible longitude dependence, due to the time integration over thousands of years. These parameters are a useful way to summarize the complicated production rate history.</w:t>
      </w:r>
    </w:p>
    <w:p w:rsidR="00DD3F4E" w:rsidRPr="00DD3F4E" w:rsidRDefault="00DD3F4E" w:rsidP="00DD3F4E">
      <w:pPr>
        <w:spacing w:before="100" w:beforeAutospacing="1" w:after="100" w:afterAutospacing="1" w:line="240" w:lineRule="auto"/>
        <w:outlineLvl w:val="1"/>
        <w:rPr>
          <w:rFonts w:ascii="Times New Roman" w:eastAsia="Times New Roman" w:hAnsi="Times New Roman" w:cs="Times New Roman"/>
          <w:b/>
          <w:bCs/>
          <w:sz w:val="36"/>
          <w:szCs w:val="36"/>
        </w:rPr>
      </w:pPr>
      <w:r w:rsidRPr="00DD3F4E">
        <w:rPr>
          <w:rFonts w:ascii="Times New Roman" w:eastAsia="Times New Roman" w:hAnsi="Times New Roman" w:cs="Times New Roman"/>
          <w:b/>
          <w:bCs/>
          <w:sz w:val="36"/>
          <w:szCs w:val="36"/>
        </w:rPr>
        <w:t>Section snippets</w:t>
      </w:r>
    </w:p>
    <w:p w:rsidR="00DD3F4E" w:rsidRPr="00DD3F4E" w:rsidRDefault="00DD3F4E" w:rsidP="00DD3F4E">
      <w:pPr>
        <w:spacing w:before="100" w:beforeAutospacing="1" w:after="100" w:afterAutospacing="1" w:line="240" w:lineRule="auto"/>
        <w:outlineLvl w:val="1"/>
        <w:rPr>
          <w:rFonts w:ascii="Times New Roman" w:eastAsia="Times New Roman" w:hAnsi="Times New Roman" w:cs="Times New Roman"/>
          <w:b/>
          <w:bCs/>
          <w:sz w:val="36"/>
          <w:szCs w:val="36"/>
        </w:rPr>
      </w:pPr>
      <w:r w:rsidRPr="00DD3F4E">
        <w:rPr>
          <w:rFonts w:ascii="Times New Roman" w:eastAsia="Times New Roman" w:hAnsi="Times New Roman" w:cs="Times New Roman"/>
          <w:b/>
          <w:bCs/>
          <w:sz w:val="36"/>
          <w:szCs w:val="36"/>
        </w:rPr>
        <w:t>Description of the model</w:t>
      </w:r>
    </w:p>
    <w:p w:rsidR="00DD3F4E" w:rsidRPr="00DD3F4E" w:rsidRDefault="00DD3F4E" w:rsidP="00DD3F4E">
      <w:pPr>
        <w:spacing w:before="100" w:beforeAutospacing="1" w:after="100" w:afterAutospacing="1" w:line="240" w:lineRule="auto"/>
        <w:rPr>
          <w:rFonts w:ascii="Times New Roman" w:eastAsia="Times New Roman" w:hAnsi="Times New Roman" w:cs="Times New Roman"/>
          <w:sz w:val="24"/>
          <w:szCs w:val="24"/>
        </w:rPr>
      </w:pPr>
      <w:r w:rsidRPr="00DD3F4E">
        <w:rPr>
          <w:rFonts w:ascii="Times New Roman" w:eastAsia="Times New Roman" w:hAnsi="Times New Roman" w:cs="Times New Roman"/>
          <w:sz w:val="24"/>
          <w:szCs w:val="24"/>
        </w:rPr>
        <w:t xml:space="preserve">We let </w:t>
      </w:r>
      <w:r w:rsidRPr="00DD3F4E">
        <w:rPr>
          <w:rFonts w:ascii="Times New Roman" w:eastAsia="Times New Roman" w:hAnsi="Times New Roman" w:cs="Times New Roman"/>
          <w:i/>
          <w:iCs/>
          <w:sz w:val="24"/>
          <w:szCs w:val="24"/>
        </w:rPr>
        <w:t>n</w:t>
      </w:r>
      <w:r w:rsidRPr="00DD3F4E">
        <w:rPr>
          <w:rFonts w:ascii="Times New Roman" w:eastAsia="Times New Roman" w:hAnsi="Times New Roman" w:cs="Times New Roman"/>
          <w:sz w:val="24"/>
          <w:szCs w:val="24"/>
        </w:rPr>
        <w:t>(</w:t>
      </w:r>
      <w:r w:rsidRPr="00DD3F4E">
        <w:rPr>
          <w:rFonts w:ascii="Times New Roman" w:eastAsia="Times New Roman" w:hAnsi="Times New Roman" w:cs="Times New Roman"/>
          <w:i/>
          <w:iCs/>
          <w:sz w:val="24"/>
          <w:szCs w:val="24"/>
        </w:rPr>
        <w:t>t</w:t>
      </w:r>
      <w:r w:rsidRPr="00DD3F4E">
        <w:rPr>
          <w:rFonts w:ascii="Times New Roman" w:eastAsia="Times New Roman" w:hAnsi="Times New Roman" w:cs="Times New Roman"/>
          <w:sz w:val="24"/>
          <w:szCs w:val="24"/>
        </w:rPr>
        <w:t>) denote the number density (in atoms/gram) of the cosmogenic nuclide in a particular clast. It satisfies the following equation:</w:t>
      </w:r>
    </w:p>
    <w:p w:rsidR="00DD3F4E" w:rsidRPr="00DD3F4E" w:rsidRDefault="00DD3F4E" w:rsidP="00DD3F4E">
      <w:pPr>
        <w:spacing w:after="0" w:line="240" w:lineRule="auto"/>
        <w:rPr>
          <w:rFonts w:ascii="Times New Roman" w:eastAsia="Times New Roman" w:hAnsi="Times New Roman" w:cs="Times New Roman"/>
          <w:sz w:val="24"/>
          <w:szCs w:val="24"/>
        </w:rPr>
      </w:pPr>
      <w:r w:rsidRPr="00DD3F4E">
        <w:rPr>
          <w:rFonts w:ascii="Times New Roman" w:eastAsia="Times New Roman" w:hAnsi="Times New Roman" w:cs="Times New Roman"/>
          <w:sz w:val="24"/>
          <w:szCs w:val="24"/>
        </w:rPr>
        <w:t xml:space="preserve">where </w:t>
      </w:r>
      <w:r w:rsidRPr="00DD3F4E">
        <w:rPr>
          <w:rFonts w:ascii="Times New Roman" w:eastAsia="Times New Roman" w:hAnsi="Times New Roman" w:cs="Times New Roman"/>
          <w:i/>
          <w:iCs/>
          <w:sz w:val="24"/>
          <w:szCs w:val="24"/>
        </w:rPr>
        <w:t>P</w:t>
      </w:r>
      <w:r w:rsidRPr="00DD3F4E">
        <w:rPr>
          <w:rFonts w:ascii="Times New Roman" w:eastAsia="Times New Roman" w:hAnsi="Times New Roman" w:cs="Times New Roman"/>
          <w:sz w:val="24"/>
          <w:szCs w:val="24"/>
        </w:rPr>
        <w:t>(</w:t>
      </w:r>
      <w:r w:rsidRPr="00DD3F4E">
        <w:rPr>
          <w:rFonts w:ascii="Times New Roman" w:eastAsia="Times New Roman" w:hAnsi="Times New Roman" w:cs="Times New Roman"/>
          <w:i/>
          <w:iCs/>
          <w:sz w:val="24"/>
          <w:szCs w:val="24"/>
        </w:rPr>
        <w:t>t</w:t>
      </w:r>
      <w:r w:rsidRPr="00DD3F4E">
        <w:rPr>
          <w:rFonts w:ascii="Times New Roman" w:eastAsia="Times New Roman" w:hAnsi="Times New Roman" w:cs="Times New Roman"/>
          <w:sz w:val="24"/>
          <w:szCs w:val="24"/>
        </w:rPr>
        <w:t xml:space="preserve">) is the time-dependent production rate for the clast and τ is the mean lifetime of the nuclide. We take </w:t>
      </w:r>
      <w:r w:rsidRPr="00DD3F4E">
        <w:rPr>
          <w:rFonts w:ascii="Times New Roman" w:eastAsia="Times New Roman" w:hAnsi="Times New Roman" w:cs="Times New Roman"/>
          <w:i/>
          <w:iCs/>
          <w:sz w:val="24"/>
          <w:szCs w:val="24"/>
        </w:rPr>
        <w:t>t</w:t>
      </w:r>
      <w:r w:rsidRPr="00DD3F4E">
        <w:rPr>
          <w:rFonts w:ascii="Times New Roman" w:eastAsia="Times New Roman" w:hAnsi="Times New Roman" w:cs="Times New Roman"/>
          <w:sz w:val="24"/>
          <w:szCs w:val="24"/>
        </w:rPr>
        <w:t xml:space="preserve"> = 0 to be the present and assume that the exposure of the clast began at time </w:t>
      </w:r>
      <w:r w:rsidRPr="00DD3F4E">
        <w:rPr>
          <w:rFonts w:ascii="Times New Roman" w:eastAsia="Times New Roman" w:hAnsi="Times New Roman" w:cs="Times New Roman"/>
          <w:i/>
          <w:iCs/>
          <w:sz w:val="24"/>
          <w:szCs w:val="24"/>
        </w:rPr>
        <w:t>t</w:t>
      </w:r>
      <w:r w:rsidRPr="00DD3F4E">
        <w:rPr>
          <w:rFonts w:ascii="Times New Roman" w:eastAsia="Times New Roman" w:hAnsi="Times New Roman" w:cs="Times New Roman"/>
          <w:sz w:val="24"/>
          <w:szCs w:val="24"/>
        </w:rPr>
        <w:t xml:space="preserve"> = −</w:t>
      </w:r>
      <w:r w:rsidRPr="00DD3F4E">
        <w:rPr>
          <w:rFonts w:ascii="Times New Roman" w:eastAsia="Times New Roman" w:hAnsi="Times New Roman" w:cs="Times New Roman"/>
          <w:i/>
          <w:iCs/>
          <w:sz w:val="24"/>
          <w:szCs w:val="24"/>
        </w:rPr>
        <w:t>T</w:t>
      </w:r>
      <w:r w:rsidRPr="00DD3F4E">
        <w:rPr>
          <w:rFonts w:ascii="Times New Roman" w:eastAsia="Times New Roman" w:hAnsi="Times New Roman" w:cs="Times New Roman"/>
          <w:sz w:val="24"/>
          <w:szCs w:val="24"/>
        </w:rPr>
        <w:t>. We then have</w:t>
      </w:r>
    </w:p>
    <w:p w:rsidR="00DD3F4E" w:rsidRPr="00DD3F4E" w:rsidRDefault="00DD3F4E" w:rsidP="00DD3F4E">
      <w:pPr>
        <w:spacing w:before="100" w:beforeAutospacing="1" w:after="100" w:afterAutospacing="1" w:line="240" w:lineRule="auto"/>
        <w:rPr>
          <w:rFonts w:ascii="Times New Roman" w:eastAsia="Times New Roman" w:hAnsi="Times New Roman" w:cs="Times New Roman"/>
          <w:sz w:val="24"/>
          <w:szCs w:val="24"/>
        </w:rPr>
      </w:pPr>
      <w:r w:rsidRPr="00DD3F4E">
        <w:rPr>
          <w:rFonts w:ascii="Times New Roman" w:eastAsia="Times New Roman" w:hAnsi="Times New Roman" w:cs="Times New Roman"/>
          <w:sz w:val="24"/>
          <w:szCs w:val="24"/>
        </w:rPr>
        <w:t xml:space="preserve">We assume that the production rate, as a function of depth below the surface </w:t>
      </w:r>
      <w:r w:rsidRPr="00DD3F4E">
        <w:rPr>
          <w:rFonts w:ascii="Times New Roman" w:eastAsia="Times New Roman" w:hAnsi="Times New Roman" w:cs="Times New Roman"/>
          <w:i/>
          <w:iCs/>
          <w:sz w:val="24"/>
          <w:szCs w:val="24"/>
        </w:rPr>
        <w:t>z</w:t>
      </w:r>
      <w:r w:rsidRPr="00DD3F4E">
        <w:rPr>
          <w:rFonts w:ascii="Times New Roman" w:eastAsia="Times New Roman" w:hAnsi="Times New Roman" w:cs="Times New Roman"/>
          <w:sz w:val="24"/>
          <w:szCs w:val="24"/>
        </w:rPr>
        <w:t>, follows an exponential law (Lal</w:t>
      </w:r>
    </w:p>
    <w:p w:rsidR="00DD3F4E" w:rsidRPr="00DD3F4E" w:rsidRDefault="00DD3F4E" w:rsidP="00DD3F4E">
      <w:pPr>
        <w:spacing w:before="100" w:beforeAutospacing="1" w:after="100" w:afterAutospacing="1" w:line="240" w:lineRule="auto"/>
        <w:outlineLvl w:val="1"/>
        <w:rPr>
          <w:rFonts w:ascii="Times New Roman" w:eastAsia="Times New Roman" w:hAnsi="Times New Roman" w:cs="Times New Roman"/>
          <w:b/>
          <w:bCs/>
          <w:sz w:val="36"/>
          <w:szCs w:val="36"/>
        </w:rPr>
      </w:pPr>
      <w:r w:rsidRPr="00DD3F4E">
        <w:rPr>
          <w:rFonts w:ascii="Times New Roman" w:eastAsia="Times New Roman" w:hAnsi="Times New Roman" w:cs="Times New Roman"/>
          <w:b/>
          <w:bCs/>
          <w:sz w:val="36"/>
          <w:szCs w:val="36"/>
        </w:rPr>
        <w:t>Results</w:t>
      </w:r>
    </w:p>
    <w:p w:rsidR="00DD3F4E" w:rsidRPr="00DD3F4E" w:rsidRDefault="00DD3F4E" w:rsidP="00DD3F4E">
      <w:pPr>
        <w:spacing w:before="100" w:beforeAutospacing="1" w:after="100" w:afterAutospacing="1" w:line="240" w:lineRule="auto"/>
        <w:rPr>
          <w:rFonts w:ascii="Times New Roman" w:eastAsia="Times New Roman" w:hAnsi="Times New Roman" w:cs="Times New Roman"/>
          <w:sz w:val="24"/>
          <w:szCs w:val="24"/>
        </w:rPr>
      </w:pPr>
      <w:r w:rsidRPr="00DD3F4E">
        <w:rPr>
          <w:rFonts w:ascii="Times New Roman" w:eastAsia="Times New Roman" w:hAnsi="Times New Roman" w:cs="Times New Roman"/>
          <w:sz w:val="24"/>
          <w:szCs w:val="24"/>
        </w:rPr>
        <w:t xml:space="preserve">By using the model expression for </w:t>
      </w:r>
      <w:r w:rsidRPr="00DD3F4E">
        <w:rPr>
          <w:rFonts w:ascii="Times New Roman" w:eastAsia="Times New Roman" w:hAnsi="Times New Roman" w:cs="Times New Roman"/>
          <w:i/>
          <w:iCs/>
          <w:sz w:val="24"/>
          <w:szCs w:val="24"/>
        </w:rPr>
        <w:t>P</w:t>
      </w:r>
      <w:r w:rsidRPr="00DD3F4E">
        <w:rPr>
          <w:rFonts w:ascii="Times New Roman" w:eastAsia="Times New Roman" w:hAnsi="Times New Roman" w:cs="Times New Roman"/>
          <w:i/>
          <w:iCs/>
          <w:sz w:val="24"/>
          <w:szCs w:val="24"/>
          <w:vertAlign w:val="subscript"/>
        </w:rPr>
        <w:t>s</w:t>
      </w:r>
      <w:r w:rsidRPr="00DD3F4E">
        <w:rPr>
          <w:rFonts w:ascii="Times New Roman" w:eastAsia="Times New Roman" w:hAnsi="Times New Roman" w:cs="Times New Roman"/>
          <w:sz w:val="24"/>
          <w:szCs w:val="24"/>
        </w:rPr>
        <w:t>(</w:t>
      </w:r>
      <w:r w:rsidRPr="00DD3F4E">
        <w:rPr>
          <w:rFonts w:ascii="Times New Roman" w:eastAsia="Times New Roman" w:hAnsi="Times New Roman" w:cs="Times New Roman"/>
          <w:i/>
          <w:iCs/>
          <w:sz w:val="24"/>
          <w:szCs w:val="24"/>
        </w:rPr>
        <w:t>t</w:t>
      </w:r>
      <w:r w:rsidRPr="00DD3F4E">
        <w:rPr>
          <w:rFonts w:ascii="Times New Roman" w:eastAsia="Times New Roman" w:hAnsi="Times New Roman" w:cs="Times New Roman"/>
          <w:sz w:val="24"/>
          <w:szCs w:val="24"/>
        </w:rPr>
        <w:t xml:space="preserve">) given above, we arrive at the following integral for </w:t>
      </w:r>
      <w:proofErr w:type="gramStart"/>
      <w:r w:rsidRPr="00DD3F4E">
        <w:rPr>
          <w:rFonts w:ascii="Times New Roman" w:eastAsia="Times New Roman" w:hAnsi="Times New Roman" w:cs="Times New Roman"/>
          <w:i/>
          <w:iCs/>
          <w:sz w:val="24"/>
          <w:szCs w:val="24"/>
        </w:rPr>
        <w:t>n</w:t>
      </w:r>
      <w:r w:rsidRPr="00DD3F4E">
        <w:rPr>
          <w:rFonts w:ascii="Times New Roman" w:eastAsia="Times New Roman" w:hAnsi="Times New Roman" w:cs="Times New Roman"/>
          <w:i/>
          <w:iCs/>
          <w:sz w:val="24"/>
          <w:szCs w:val="24"/>
          <w:vertAlign w:val="subscript"/>
        </w:rPr>
        <w:t>s</w:t>
      </w:r>
      <w:r w:rsidRPr="00DD3F4E">
        <w:rPr>
          <w:rFonts w:ascii="Times New Roman" w:eastAsia="Times New Roman" w:hAnsi="Times New Roman" w:cs="Times New Roman"/>
          <w:sz w:val="24"/>
          <w:szCs w:val="24"/>
        </w:rPr>
        <w:t>(</w:t>
      </w:r>
      <w:proofErr w:type="gramEnd"/>
      <w:r w:rsidRPr="00DD3F4E">
        <w:rPr>
          <w:rFonts w:ascii="Times New Roman" w:eastAsia="Times New Roman" w:hAnsi="Times New Roman" w:cs="Times New Roman"/>
          <w:i/>
          <w:iCs/>
          <w:sz w:val="24"/>
          <w:szCs w:val="24"/>
        </w:rPr>
        <w:t>T, E</w:t>
      </w:r>
      <w:r w:rsidRPr="00DD3F4E">
        <w:rPr>
          <w:rFonts w:ascii="Times New Roman" w:eastAsia="Times New Roman" w:hAnsi="Times New Roman" w:cs="Times New Roman"/>
          <w:sz w:val="24"/>
          <w:szCs w:val="24"/>
        </w:rPr>
        <w:t>).</w:t>
      </w:r>
    </w:p>
    <w:p w:rsidR="00DD3F4E" w:rsidRPr="00DD3F4E" w:rsidRDefault="00DD3F4E" w:rsidP="00DD3F4E">
      <w:pPr>
        <w:spacing w:after="0" w:line="240" w:lineRule="auto"/>
        <w:rPr>
          <w:rFonts w:ascii="Times New Roman" w:eastAsia="Times New Roman" w:hAnsi="Times New Roman" w:cs="Times New Roman"/>
          <w:sz w:val="24"/>
          <w:szCs w:val="24"/>
        </w:rPr>
      </w:pPr>
      <w:r w:rsidRPr="00DD3F4E">
        <w:rPr>
          <w:rFonts w:ascii="Times New Roman" w:eastAsia="Times New Roman" w:hAnsi="Times New Roman" w:cs="Times New Roman"/>
          <w:sz w:val="24"/>
          <w:szCs w:val="24"/>
        </w:rPr>
        <w:lastRenderedPageBreak/>
        <w:t>Although the integral cannot be done in closed form, a highly accurate approximation at one key step, as explained in the Appendix, leads to an analytic expression:</w:t>
      </w:r>
    </w:p>
    <w:p w:rsidR="00DD3F4E" w:rsidRPr="00DD3F4E" w:rsidRDefault="00DD3F4E" w:rsidP="00DD3F4E">
      <w:pPr>
        <w:spacing w:before="100" w:beforeAutospacing="1" w:after="100" w:afterAutospacing="1" w:line="240" w:lineRule="auto"/>
        <w:rPr>
          <w:rFonts w:ascii="Times New Roman" w:eastAsia="Times New Roman" w:hAnsi="Times New Roman" w:cs="Times New Roman"/>
          <w:sz w:val="24"/>
          <w:szCs w:val="24"/>
        </w:rPr>
      </w:pPr>
      <w:r w:rsidRPr="00DD3F4E">
        <w:rPr>
          <w:rFonts w:ascii="Times New Roman" w:eastAsia="Times New Roman" w:hAnsi="Times New Roman" w:cs="Times New Roman"/>
          <w:sz w:val="24"/>
          <w:szCs w:val="24"/>
        </w:rPr>
        <w:t xml:space="preserve">Here, </w:t>
      </w:r>
      <w:r w:rsidRPr="00DD3F4E">
        <w:rPr>
          <w:rFonts w:ascii="Times New Roman" w:eastAsia="Times New Roman" w:hAnsi="Times New Roman" w:cs="Times New Roman"/>
          <w:i/>
          <w:iCs/>
          <w:sz w:val="24"/>
          <w:szCs w:val="24"/>
        </w:rPr>
        <w:t>a</w:t>
      </w:r>
      <w:r w:rsidRPr="00DD3F4E">
        <w:rPr>
          <w:rFonts w:ascii="Times New Roman" w:eastAsia="Times New Roman" w:hAnsi="Times New Roman" w:cs="Times New Roman"/>
          <w:sz w:val="24"/>
          <w:szCs w:val="24"/>
          <w:vertAlign w:val="subscript"/>
        </w:rPr>
        <w:t>1</w:t>
      </w:r>
      <w:r w:rsidRPr="00DD3F4E">
        <w:rPr>
          <w:rFonts w:ascii="Times New Roman" w:eastAsia="Times New Roman" w:hAnsi="Times New Roman" w:cs="Times New Roman"/>
          <w:sz w:val="24"/>
          <w:szCs w:val="24"/>
        </w:rPr>
        <w:t xml:space="preserve"> = 0.937</w:t>
      </w:r>
    </w:p>
    <w:p w:rsidR="00DD3F4E" w:rsidRPr="00DD3F4E" w:rsidRDefault="00DD3F4E" w:rsidP="00DD3F4E">
      <w:pPr>
        <w:spacing w:before="100" w:beforeAutospacing="1" w:after="100" w:afterAutospacing="1" w:line="240" w:lineRule="auto"/>
        <w:outlineLvl w:val="1"/>
        <w:rPr>
          <w:rFonts w:ascii="Times New Roman" w:eastAsia="Times New Roman" w:hAnsi="Times New Roman" w:cs="Times New Roman"/>
          <w:b/>
          <w:bCs/>
          <w:sz w:val="36"/>
          <w:szCs w:val="36"/>
        </w:rPr>
      </w:pPr>
      <w:r w:rsidRPr="00DD3F4E">
        <w:rPr>
          <w:rFonts w:ascii="Times New Roman" w:eastAsia="Times New Roman" w:hAnsi="Times New Roman" w:cs="Times New Roman"/>
          <w:b/>
          <w:bCs/>
          <w:sz w:val="36"/>
          <w:szCs w:val="36"/>
        </w:rPr>
        <w:t>Examples</w:t>
      </w:r>
    </w:p>
    <w:p w:rsidR="00DD3F4E" w:rsidRPr="00DD3F4E" w:rsidRDefault="00DD3F4E" w:rsidP="00DD3F4E">
      <w:pPr>
        <w:spacing w:before="100" w:beforeAutospacing="1" w:after="100" w:afterAutospacing="1" w:line="240" w:lineRule="auto"/>
        <w:rPr>
          <w:rFonts w:ascii="Times New Roman" w:eastAsia="Times New Roman" w:hAnsi="Times New Roman" w:cs="Times New Roman"/>
          <w:sz w:val="24"/>
          <w:szCs w:val="24"/>
        </w:rPr>
      </w:pPr>
      <w:r w:rsidRPr="00DD3F4E">
        <w:rPr>
          <w:rFonts w:ascii="Times New Roman" w:eastAsia="Times New Roman" w:hAnsi="Times New Roman" w:cs="Times New Roman"/>
          <w:sz w:val="24"/>
          <w:szCs w:val="24"/>
        </w:rPr>
        <w:t xml:space="preserve">We can use our results to explore the question, in what circumstances are the production rate changes important (Bierman and Clapp 1996, </w:t>
      </w:r>
      <w:proofErr w:type="spellStart"/>
      <w:r w:rsidRPr="00DD3F4E">
        <w:rPr>
          <w:rFonts w:ascii="Times New Roman" w:eastAsia="Times New Roman" w:hAnsi="Times New Roman" w:cs="Times New Roman"/>
          <w:sz w:val="24"/>
          <w:szCs w:val="24"/>
        </w:rPr>
        <w:t>Masarik</w:t>
      </w:r>
      <w:proofErr w:type="spellEnd"/>
      <w:r w:rsidRPr="00DD3F4E">
        <w:rPr>
          <w:rFonts w:ascii="Times New Roman" w:eastAsia="Times New Roman" w:hAnsi="Times New Roman" w:cs="Times New Roman"/>
          <w:sz w:val="24"/>
          <w:szCs w:val="24"/>
        </w:rPr>
        <w:t xml:space="preserve"> et al 2001)? For example, suppose we measure the steady state nuclide density </w:t>
      </w:r>
      <w:proofErr w:type="spellStart"/>
      <w:r w:rsidRPr="00DD3F4E">
        <w:rPr>
          <w:rFonts w:ascii="Times New Roman" w:eastAsia="Times New Roman" w:hAnsi="Times New Roman" w:cs="Times New Roman"/>
          <w:i/>
          <w:iCs/>
          <w:sz w:val="24"/>
          <w:szCs w:val="24"/>
        </w:rPr>
        <w:t>n</w:t>
      </w:r>
      <w:r w:rsidRPr="00DD3F4E">
        <w:rPr>
          <w:rFonts w:ascii="Times New Roman" w:eastAsia="Times New Roman" w:hAnsi="Times New Roman" w:cs="Times New Roman"/>
          <w:i/>
          <w:iCs/>
          <w:sz w:val="24"/>
          <w:szCs w:val="24"/>
          <w:vertAlign w:val="subscript"/>
        </w:rPr>
        <w:t>ss</w:t>
      </w:r>
      <w:proofErr w:type="spellEnd"/>
      <w:r w:rsidRPr="00DD3F4E">
        <w:rPr>
          <w:rFonts w:ascii="Times New Roman" w:eastAsia="Times New Roman" w:hAnsi="Times New Roman" w:cs="Times New Roman"/>
          <w:sz w:val="24"/>
          <w:szCs w:val="24"/>
        </w:rPr>
        <w:t xml:space="preserve"> and then use Eqn. 12 to derive an erosion rate. Call this result </w:t>
      </w:r>
      <w:r w:rsidRPr="00DD3F4E">
        <w:rPr>
          <w:rFonts w:ascii="Times New Roman" w:eastAsia="Times New Roman" w:hAnsi="Times New Roman" w:cs="Times New Roman"/>
          <w:i/>
          <w:iCs/>
          <w:sz w:val="24"/>
          <w:szCs w:val="24"/>
        </w:rPr>
        <w:t>E</w:t>
      </w:r>
      <w:r w:rsidRPr="00DD3F4E">
        <w:rPr>
          <w:rFonts w:ascii="Times New Roman" w:eastAsia="Times New Roman" w:hAnsi="Times New Roman" w:cs="Times New Roman"/>
          <w:sz w:val="24"/>
          <w:szCs w:val="24"/>
        </w:rPr>
        <w:t>(</w:t>
      </w:r>
      <w:proofErr w:type="spellStart"/>
      <w:r w:rsidRPr="00DD3F4E">
        <w:rPr>
          <w:rFonts w:ascii="Times New Roman" w:eastAsia="Times New Roman" w:hAnsi="Times New Roman" w:cs="Times New Roman"/>
          <w:i/>
          <w:iCs/>
          <w:sz w:val="24"/>
          <w:szCs w:val="24"/>
        </w:rPr>
        <w:t>n</w:t>
      </w:r>
      <w:r w:rsidRPr="00DD3F4E">
        <w:rPr>
          <w:rFonts w:ascii="Times New Roman" w:eastAsia="Times New Roman" w:hAnsi="Times New Roman" w:cs="Times New Roman"/>
          <w:i/>
          <w:iCs/>
          <w:sz w:val="24"/>
          <w:szCs w:val="24"/>
          <w:vertAlign w:val="subscript"/>
        </w:rPr>
        <w:t>ss</w:t>
      </w:r>
      <w:proofErr w:type="spellEnd"/>
      <w:r w:rsidRPr="00DD3F4E">
        <w:rPr>
          <w:rFonts w:ascii="Times New Roman" w:eastAsia="Times New Roman" w:hAnsi="Times New Roman" w:cs="Times New Roman"/>
          <w:sz w:val="24"/>
          <w:szCs w:val="24"/>
        </w:rPr>
        <w:t xml:space="preserve">). We may also derive an approximate erosion rate by ignoring the changes in the production rate, by setting </w:t>
      </w:r>
      <w:r w:rsidRPr="00DD3F4E">
        <w:rPr>
          <w:rFonts w:ascii="Times New Roman" w:eastAsia="Times New Roman" w:hAnsi="Times New Roman" w:cs="Times New Roman"/>
          <w:i/>
          <w:iCs/>
          <w:sz w:val="24"/>
          <w:szCs w:val="24"/>
        </w:rPr>
        <w:t>A</w:t>
      </w:r>
      <w:r w:rsidRPr="00DD3F4E">
        <w:rPr>
          <w:rFonts w:ascii="Times New Roman" w:eastAsia="Times New Roman" w:hAnsi="Times New Roman" w:cs="Times New Roman"/>
          <w:sz w:val="24"/>
          <w:szCs w:val="24"/>
        </w:rPr>
        <w:t xml:space="preserve"> = 0; call this approximate result </w:t>
      </w:r>
      <w:r w:rsidRPr="00DD3F4E">
        <w:rPr>
          <w:rFonts w:ascii="Times New Roman" w:eastAsia="Times New Roman" w:hAnsi="Times New Roman" w:cs="Times New Roman"/>
          <w:i/>
          <w:iCs/>
          <w:sz w:val="24"/>
          <w:szCs w:val="24"/>
        </w:rPr>
        <w:t>E</w:t>
      </w:r>
      <w:r w:rsidRPr="00DD3F4E">
        <w:rPr>
          <w:rFonts w:ascii="Times New Roman" w:eastAsia="Times New Roman" w:hAnsi="Times New Roman" w:cs="Times New Roman"/>
          <w:sz w:val="24"/>
          <w:szCs w:val="24"/>
          <w:vertAlign w:val="subscript"/>
        </w:rPr>
        <w:t>0</w:t>
      </w:r>
      <w:r w:rsidRPr="00DD3F4E">
        <w:rPr>
          <w:rFonts w:ascii="Times New Roman" w:eastAsia="Times New Roman" w:hAnsi="Times New Roman" w:cs="Times New Roman"/>
          <w:sz w:val="24"/>
          <w:szCs w:val="24"/>
        </w:rPr>
        <w:t>:</w:t>
      </w:r>
    </w:p>
    <w:p w:rsidR="00DD3F4E" w:rsidRPr="00DD3F4E" w:rsidRDefault="00DD3F4E" w:rsidP="00DD3F4E">
      <w:pPr>
        <w:spacing w:before="100" w:beforeAutospacing="1" w:after="100" w:afterAutospacing="1" w:line="240" w:lineRule="auto"/>
        <w:rPr>
          <w:rFonts w:ascii="Times New Roman" w:eastAsia="Times New Roman" w:hAnsi="Times New Roman" w:cs="Times New Roman"/>
          <w:sz w:val="24"/>
          <w:szCs w:val="24"/>
        </w:rPr>
      </w:pPr>
      <w:r w:rsidRPr="00DD3F4E">
        <w:rPr>
          <w:rFonts w:ascii="Times New Roman" w:eastAsia="Times New Roman" w:hAnsi="Times New Roman" w:cs="Times New Roman"/>
          <w:sz w:val="24"/>
          <w:szCs w:val="24"/>
        </w:rPr>
        <w:t xml:space="preserve">We may derive another approximate result </w:t>
      </w:r>
    </w:p>
    <w:p w:rsidR="00DD3F4E" w:rsidRPr="00DD3F4E" w:rsidRDefault="00DD3F4E" w:rsidP="00DD3F4E">
      <w:pPr>
        <w:spacing w:before="100" w:beforeAutospacing="1" w:after="100" w:afterAutospacing="1" w:line="240" w:lineRule="auto"/>
        <w:outlineLvl w:val="1"/>
        <w:rPr>
          <w:rFonts w:ascii="Times New Roman" w:eastAsia="Times New Roman" w:hAnsi="Times New Roman" w:cs="Times New Roman"/>
          <w:b/>
          <w:bCs/>
          <w:sz w:val="36"/>
          <w:szCs w:val="36"/>
        </w:rPr>
      </w:pPr>
      <w:r w:rsidRPr="00DD3F4E">
        <w:rPr>
          <w:rFonts w:ascii="Times New Roman" w:eastAsia="Times New Roman" w:hAnsi="Times New Roman" w:cs="Times New Roman"/>
          <w:b/>
          <w:bCs/>
          <w:sz w:val="36"/>
          <w:szCs w:val="36"/>
        </w:rPr>
        <w:t>Conclusions</w:t>
      </w:r>
    </w:p>
    <w:p w:rsidR="00DD3F4E" w:rsidRPr="00DD3F4E" w:rsidRDefault="00DD3F4E" w:rsidP="00DD3F4E">
      <w:pPr>
        <w:spacing w:before="100" w:beforeAutospacing="1" w:after="100" w:afterAutospacing="1" w:line="240" w:lineRule="auto"/>
        <w:rPr>
          <w:rFonts w:ascii="Times New Roman" w:eastAsia="Times New Roman" w:hAnsi="Times New Roman" w:cs="Times New Roman"/>
          <w:sz w:val="24"/>
          <w:szCs w:val="24"/>
        </w:rPr>
      </w:pPr>
      <w:r w:rsidRPr="00DD3F4E">
        <w:rPr>
          <w:rFonts w:ascii="Times New Roman" w:eastAsia="Times New Roman" w:hAnsi="Times New Roman" w:cs="Times New Roman"/>
          <w:sz w:val="24"/>
          <w:szCs w:val="24"/>
        </w:rPr>
        <w:t>The in-situ production rate has varied in a complicated fashion over the past million years. The goal of attaining a higher precision in cosmogenic nuclide dating has focused attention on the necessity of taking these variations into account when computing exposure ages or erosion rates. In this paper we have proposed a simple model for the time dependence of the production rate, given by Eqns. (7), (8). We have argued that when used in the integral for the nuclide concentration, Eqn. 5, this</w:t>
      </w:r>
    </w:p>
    <w:p w:rsidR="00DD3F4E" w:rsidRPr="00DD3F4E" w:rsidRDefault="00DD3F4E" w:rsidP="00DD3F4E">
      <w:pPr>
        <w:spacing w:before="100" w:beforeAutospacing="1" w:after="100" w:afterAutospacing="1" w:line="240" w:lineRule="auto"/>
        <w:outlineLvl w:val="1"/>
        <w:rPr>
          <w:rFonts w:ascii="Times New Roman" w:eastAsia="Times New Roman" w:hAnsi="Times New Roman" w:cs="Times New Roman"/>
          <w:b/>
          <w:bCs/>
          <w:sz w:val="36"/>
          <w:szCs w:val="36"/>
        </w:rPr>
      </w:pPr>
      <w:r w:rsidRPr="00DD3F4E">
        <w:rPr>
          <w:rFonts w:ascii="Times New Roman" w:eastAsia="Times New Roman" w:hAnsi="Times New Roman" w:cs="Times New Roman"/>
          <w:b/>
          <w:bCs/>
          <w:sz w:val="36"/>
          <w:szCs w:val="36"/>
        </w:rPr>
        <w:t>Acknowledgements</w:t>
      </w:r>
    </w:p>
    <w:p w:rsidR="00DD3F4E" w:rsidRPr="00DD3F4E" w:rsidRDefault="00DD3F4E" w:rsidP="00DD3F4E">
      <w:pPr>
        <w:spacing w:before="100" w:beforeAutospacing="1" w:after="100" w:afterAutospacing="1" w:line="240" w:lineRule="auto"/>
        <w:rPr>
          <w:rFonts w:ascii="Times New Roman" w:eastAsia="Times New Roman" w:hAnsi="Times New Roman" w:cs="Times New Roman"/>
          <w:sz w:val="24"/>
          <w:szCs w:val="24"/>
        </w:rPr>
      </w:pPr>
      <w:r w:rsidRPr="00DD3F4E">
        <w:rPr>
          <w:rFonts w:ascii="Times New Roman" w:eastAsia="Times New Roman" w:hAnsi="Times New Roman" w:cs="Times New Roman"/>
          <w:sz w:val="24"/>
          <w:szCs w:val="24"/>
        </w:rPr>
        <w:t xml:space="preserve">I am grateful to Marc </w:t>
      </w:r>
      <w:proofErr w:type="spellStart"/>
      <w:r w:rsidRPr="00DD3F4E">
        <w:rPr>
          <w:rFonts w:ascii="Times New Roman" w:eastAsia="Times New Roman" w:hAnsi="Times New Roman" w:cs="Times New Roman"/>
          <w:sz w:val="24"/>
          <w:szCs w:val="24"/>
        </w:rPr>
        <w:t>Caffee</w:t>
      </w:r>
      <w:proofErr w:type="spellEnd"/>
      <w:r w:rsidRPr="00DD3F4E">
        <w:rPr>
          <w:rFonts w:ascii="Times New Roman" w:eastAsia="Times New Roman" w:hAnsi="Times New Roman" w:cs="Times New Roman"/>
          <w:sz w:val="24"/>
          <w:szCs w:val="24"/>
        </w:rPr>
        <w:t xml:space="preserve"> and David Elmore for useful comments. Darin </w:t>
      </w:r>
      <w:proofErr w:type="spellStart"/>
      <w:r w:rsidRPr="00DD3F4E">
        <w:rPr>
          <w:rFonts w:ascii="Times New Roman" w:eastAsia="Times New Roman" w:hAnsi="Times New Roman" w:cs="Times New Roman"/>
          <w:sz w:val="24"/>
          <w:szCs w:val="24"/>
        </w:rPr>
        <w:t>Desilets</w:t>
      </w:r>
      <w:proofErr w:type="spellEnd"/>
      <w:r w:rsidRPr="00DD3F4E">
        <w:rPr>
          <w:rFonts w:ascii="Times New Roman" w:eastAsia="Times New Roman" w:hAnsi="Times New Roman" w:cs="Times New Roman"/>
          <w:sz w:val="24"/>
          <w:szCs w:val="24"/>
        </w:rPr>
        <w:t xml:space="preserve">, John Gosse, and </w:t>
      </w:r>
      <w:proofErr w:type="spellStart"/>
      <w:r w:rsidRPr="00DD3F4E">
        <w:rPr>
          <w:rFonts w:ascii="Times New Roman" w:eastAsia="Times New Roman" w:hAnsi="Times New Roman" w:cs="Times New Roman"/>
          <w:sz w:val="24"/>
          <w:szCs w:val="24"/>
        </w:rPr>
        <w:t>Jozef</w:t>
      </w:r>
      <w:proofErr w:type="spellEnd"/>
      <w:r w:rsidRPr="00DD3F4E">
        <w:rPr>
          <w:rFonts w:ascii="Times New Roman" w:eastAsia="Times New Roman" w:hAnsi="Times New Roman" w:cs="Times New Roman"/>
          <w:sz w:val="24"/>
          <w:szCs w:val="24"/>
        </w:rPr>
        <w:t xml:space="preserve"> </w:t>
      </w:r>
      <w:proofErr w:type="spellStart"/>
      <w:r w:rsidRPr="00DD3F4E">
        <w:rPr>
          <w:rFonts w:ascii="Times New Roman" w:eastAsia="Times New Roman" w:hAnsi="Times New Roman" w:cs="Times New Roman"/>
          <w:sz w:val="24"/>
          <w:szCs w:val="24"/>
        </w:rPr>
        <w:t>Masarik</w:t>
      </w:r>
      <w:proofErr w:type="spellEnd"/>
      <w:r w:rsidRPr="00DD3F4E">
        <w:rPr>
          <w:rFonts w:ascii="Times New Roman" w:eastAsia="Times New Roman" w:hAnsi="Times New Roman" w:cs="Times New Roman"/>
          <w:sz w:val="24"/>
          <w:szCs w:val="24"/>
        </w:rPr>
        <w:t xml:space="preserve"> reviewed the manuscript and made many useful and constructive suggestions that led to important improvements in the paper. This work was supported by National Science Foundation grant EAR 0112480.</w:t>
      </w:r>
    </w:p>
    <w:p w:rsidR="00037EAE" w:rsidRDefault="00037EAE"/>
    <w:sectPr w:rsidR="00037EAE">
      <w:pgSz w:w="12240" w:h="15840"/>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5DED132F"/>
    <w:multiLevelType w:val="multilevel"/>
    <w:tmpl w:val="359068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D3F4E"/>
    <w:rsid w:val="00037EAE"/>
    <w:rsid w:val="00DD3F4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DE9673"/>
  <w15:chartTrackingRefBased/>
  <w15:docId w15:val="{D3A7DE07-F446-47A9-8B3E-50286D0B5E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572691413">
      <w:bodyDiv w:val="1"/>
      <w:marLeft w:val="0"/>
      <w:marRight w:val="0"/>
      <w:marTop w:val="0"/>
      <w:marBottom w:val="0"/>
      <w:divBdr>
        <w:top w:val="none" w:sz="0" w:space="0" w:color="auto"/>
        <w:left w:val="none" w:sz="0" w:space="0" w:color="auto"/>
        <w:bottom w:val="none" w:sz="0" w:space="0" w:color="auto"/>
        <w:right w:val="none" w:sz="0" w:space="0" w:color="auto"/>
      </w:divBdr>
      <w:divsChild>
        <w:div w:id="1179392771">
          <w:marLeft w:val="0"/>
          <w:marRight w:val="0"/>
          <w:marTop w:val="0"/>
          <w:marBottom w:val="0"/>
          <w:divBdr>
            <w:top w:val="none" w:sz="0" w:space="0" w:color="auto"/>
            <w:left w:val="none" w:sz="0" w:space="0" w:color="auto"/>
            <w:bottom w:val="none" w:sz="0" w:space="0" w:color="auto"/>
            <w:right w:val="none" w:sz="0" w:space="0" w:color="auto"/>
          </w:divBdr>
          <w:divsChild>
            <w:div w:id="832917374">
              <w:marLeft w:val="0"/>
              <w:marRight w:val="0"/>
              <w:marTop w:val="0"/>
              <w:marBottom w:val="0"/>
              <w:divBdr>
                <w:top w:val="none" w:sz="0" w:space="0" w:color="auto"/>
                <w:left w:val="none" w:sz="0" w:space="0" w:color="auto"/>
                <w:bottom w:val="none" w:sz="0" w:space="0" w:color="auto"/>
                <w:right w:val="none" w:sz="0" w:space="0" w:color="auto"/>
              </w:divBdr>
              <w:divsChild>
                <w:div w:id="1078945800">
                  <w:marLeft w:val="0"/>
                  <w:marRight w:val="0"/>
                  <w:marTop w:val="0"/>
                  <w:marBottom w:val="0"/>
                  <w:divBdr>
                    <w:top w:val="none" w:sz="0" w:space="0" w:color="auto"/>
                    <w:left w:val="none" w:sz="0" w:space="0" w:color="auto"/>
                    <w:bottom w:val="none" w:sz="0" w:space="0" w:color="auto"/>
                    <w:right w:val="none" w:sz="0" w:space="0" w:color="auto"/>
                  </w:divBdr>
                  <w:divsChild>
                    <w:div w:id="11761131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0492471">
          <w:marLeft w:val="0"/>
          <w:marRight w:val="0"/>
          <w:marTop w:val="0"/>
          <w:marBottom w:val="0"/>
          <w:divBdr>
            <w:top w:val="none" w:sz="0" w:space="0" w:color="auto"/>
            <w:left w:val="none" w:sz="0" w:space="0" w:color="auto"/>
            <w:bottom w:val="none" w:sz="0" w:space="0" w:color="auto"/>
            <w:right w:val="none" w:sz="0" w:space="0" w:color="auto"/>
          </w:divBdr>
          <w:divsChild>
            <w:div w:id="856894377">
              <w:marLeft w:val="0"/>
              <w:marRight w:val="0"/>
              <w:marTop w:val="0"/>
              <w:marBottom w:val="0"/>
              <w:divBdr>
                <w:top w:val="none" w:sz="0" w:space="0" w:color="auto"/>
                <w:left w:val="none" w:sz="0" w:space="0" w:color="auto"/>
                <w:bottom w:val="none" w:sz="0" w:space="0" w:color="auto"/>
                <w:right w:val="none" w:sz="0" w:space="0" w:color="auto"/>
              </w:divBdr>
              <w:divsChild>
                <w:div w:id="1116482164">
                  <w:marLeft w:val="0"/>
                  <w:marRight w:val="0"/>
                  <w:marTop w:val="0"/>
                  <w:marBottom w:val="0"/>
                  <w:divBdr>
                    <w:top w:val="none" w:sz="0" w:space="0" w:color="auto"/>
                    <w:left w:val="none" w:sz="0" w:space="0" w:color="auto"/>
                    <w:bottom w:val="none" w:sz="0" w:space="0" w:color="auto"/>
                    <w:right w:val="none" w:sz="0" w:space="0" w:color="auto"/>
                  </w:divBdr>
                  <w:divsChild>
                    <w:div w:id="124172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3530335">
          <w:marLeft w:val="0"/>
          <w:marRight w:val="0"/>
          <w:marTop w:val="0"/>
          <w:marBottom w:val="0"/>
          <w:divBdr>
            <w:top w:val="none" w:sz="0" w:space="0" w:color="auto"/>
            <w:left w:val="none" w:sz="0" w:space="0" w:color="auto"/>
            <w:bottom w:val="none" w:sz="0" w:space="0" w:color="auto"/>
            <w:right w:val="none" w:sz="0" w:space="0" w:color="auto"/>
          </w:divBdr>
          <w:divsChild>
            <w:div w:id="990599906">
              <w:marLeft w:val="0"/>
              <w:marRight w:val="0"/>
              <w:marTop w:val="0"/>
              <w:marBottom w:val="0"/>
              <w:divBdr>
                <w:top w:val="none" w:sz="0" w:space="0" w:color="auto"/>
                <w:left w:val="none" w:sz="0" w:space="0" w:color="auto"/>
                <w:bottom w:val="none" w:sz="0" w:space="0" w:color="auto"/>
                <w:right w:val="none" w:sz="0" w:space="0" w:color="auto"/>
              </w:divBdr>
            </w:div>
          </w:divsChild>
        </w:div>
        <w:div w:id="464204803">
          <w:marLeft w:val="0"/>
          <w:marRight w:val="0"/>
          <w:marTop w:val="0"/>
          <w:marBottom w:val="0"/>
          <w:divBdr>
            <w:top w:val="none" w:sz="0" w:space="0" w:color="auto"/>
            <w:left w:val="none" w:sz="0" w:space="0" w:color="auto"/>
            <w:bottom w:val="none" w:sz="0" w:space="0" w:color="auto"/>
            <w:right w:val="none" w:sz="0" w:space="0" w:color="auto"/>
          </w:divBdr>
          <w:divsChild>
            <w:div w:id="19964945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sciencedirect.com/topics/earth-and-planetary-sciences/geomagnetism" TargetMode="External"/><Relationship Id="rId5" Type="http://schemas.openxmlformats.org/officeDocument/2006/relationships/hyperlink" Target="https://doi.org/10.1016/j.gca.2004.12.027"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1060</Words>
  <Characters>6043</Characters>
  <Application>Microsoft Office Word</Application>
  <DocSecurity>0</DocSecurity>
  <Lines>50</Lines>
  <Paragraphs>14</Paragraphs>
  <ScaleCrop>false</ScaleCrop>
  <Company/>
  <LinksUpToDate>false</LinksUpToDate>
  <CharactersWithSpaces>7089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dc:creator>
  <cp:keywords/>
  <dc:description/>
  <cp:lastModifiedBy>Mike</cp:lastModifiedBy>
  <cp:revision>1</cp:revision>
  <dcterms:created xsi:type="dcterms:W3CDTF">2023-11-18T04:13:00Z</dcterms:created>
  <dcterms:modified xsi:type="dcterms:W3CDTF">2023-11-18T04:14:00Z</dcterms:modified>
</cp:coreProperties>
</file>