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63AC6" w:rsidRPr="00B63AC6" w:rsidRDefault="00B63AC6" w:rsidP="00B63AC6">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B63AC6">
        <w:rPr>
          <w:rFonts w:ascii="Times New Roman" w:eastAsia="Times New Roman" w:hAnsi="Times New Roman" w:cs="Times New Roman"/>
          <w:b/>
          <w:bCs/>
          <w:kern w:val="36"/>
          <w:sz w:val="48"/>
          <w:szCs w:val="48"/>
        </w:rPr>
        <w:t>Oxygen-isotopic compositions of low-</w:t>
      </w:r>
      <w:proofErr w:type="spellStart"/>
      <w:r w:rsidRPr="00B63AC6">
        <w:rPr>
          <w:rFonts w:ascii="Times New Roman" w:eastAsia="Times New Roman" w:hAnsi="Times New Roman" w:cs="Times New Roman"/>
          <w:b/>
          <w:bCs/>
          <w:kern w:val="36"/>
          <w:sz w:val="48"/>
          <w:szCs w:val="48"/>
        </w:rPr>
        <w:t>FeO</w:t>
      </w:r>
      <w:proofErr w:type="spellEnd"/>
      <w:r w:rsidRPr="00B63AC6">
        <w:rPr>
          <w:rFonts w:ascii="Times New Roman" w:eastAsia="Times New Roman" w:hAnsi="Times New Roman" w:cs="Times New Roman"/>
          <w:b/>
          <w:bCs/>
          <w:kern w:val="36"/>
          <w:sz w:val="48"/>
          <w:szCs w:val="48"/>
        </w:rPr>
        <w:t xml:space="preserve"> relicts in high-</w:t>
      </w:r>
      <w:proofErr w:type="spellStart"/>
      <w:r w:rsidRPr="00B63AC6">
        <w:rPr>
          <w:rFonts w:ascii="Times New Roman" w:eastAsia="Times New Roman" w:hAnsi="Times New Roman" w:cs="Times New Roman"/>
          <w:b/>
          <w:bCs/>
          <w:kern w:val="36"/>
          <w:sz w:val="48"/>
          <w:szCs w:val="48"/>
        </w:rPr>
        <w:t>FeO</w:t>
      </w:r>
      <w:proofErr w:type="spellEnd"/>
      <w:r w:rsidRPr="00B63AC6">
        <w:rPr>
          <w:rFonts w:ascii="Times New Roman" w:eastAsia="Times New Roman" w:hAnsi="Times New Roman" w:cs="Times New Roman"/>
          <w:b/>
          <w:bCs/>
          <w:kern w:val="36"/>
          <w:sz w:val="48"/>
          <w:szCs w:val="48"/>
        </w:rPr>
        <w:t xml:space="preserve"> host chondrules in </w:t>
      </w:r>
      <w:proofErr w:type="spellStart"/>
      <w:r w:rsidRPr="00B63AC6">
        <w:rPr>
          <w:rFonts w:ascii="Times New Roman" w:eastAsia="Times New Roman" w:hAnsi="Times New Roman" w:cs="Times New Roman"/>
          <w:b/>
          <w:bCs/>
          <w:kern w:val="36"/>
          <w:sz w:val="48"/>
          <w:szCs w:val="48"/>
        </w:rPr>
        <w:t>Acfer</w:t>
      </w:r>
      <w:proofErr w:type="spellEnd"/>
      <w:r w:rsidRPr="00B63AC6">
        <w:rPr>
          <w:rFonts w:ascii="Times New Roman" w:eastAsia="Times New Roman" w:hAnsi="Times New Roman" w:cs="Times New Roman"/>
          <w:b/>
          <w:bCs/>
          <w:kern w:val="36"/>
          <w:sz w:val="48"/>
          <w:szCs w:val="48"/>
        </w:rPr>
        <w:t xml:space="preserve"> 094, a type 3.0 carbonaceous chondrite closely related to CM</w:t>
      </w:r>
    </w:p>
    <w:p w:rsidR="00B63AC6" w:rsidRPr="00B63AC6" w:rsidRDefault="00B63AC6" w:rsidP="00B63AC6">
      <w:pPr>
        <w:spacing w:after="0" w:line="240" w:lineRule="auto"/>
        <w:rPr>
          <w:rFonts w:ascii="Times New Roman" w:eastAsia="Times New Roman" w:hAnsi="Times New Roman" w:cs="Times New Roman"/>
          <w:sz w:val="24"/>
          <w:szCs w:val="24"/>
        </w:rPr>
      </w:pPr>
      <w:r w:rsidRPr="00B63AC6">
        <w:rPr>
          <w:rFonts w:ascii="Times New Roman" w:eastAsia="Times New Roman" w:hAnsi="Times New Roman" w:cs="Times New Roman"/>
          <w:sz w:val="24"/>
          <w:szCs w:val="24"/>
        </w:rPr>
        <w:t>Author links open overlay panel</w:t>
      </w:r>
    </w:p>
    <w:p w:rsidR="00B63AC6" w:rsidRPr="00B63AC6" w:rsidRDefault="00B63AC6" w:rsidP="00B63AC6">
      <w:pPr>
        <w:spacing w:after="0" w:line="240" w:lineRule="auto"/>
        <w:rPr>
          <w:rFonts w:ascii="Times New Roman" w:eastAsia="Times New Roman" w:hAnsi="Times New Roman" w:cs="Times New Roman"/>
          <w:sz w:val="24"/>
          <w:szCs w:val="24"/>
        </w:rPr>
      </w:pPr>
      <w:r w:rsidRPr="00B63AC6">
        <w:rPr>
          <w:rFonts w:ascii="Times New Roman" w:eastAsia="Times New Roman" w:hAnsi="Times New Roman" w:cs="Times New Roman"/>
          <w:sz w:val="24"/>
          <w:szCs w:val="24"/>
        </w:rPr>
        <w:t xml:space="preserve">, </w:t>
      </w:r>
      <w:bookmarkStart w:id="0" w:name="baep-author-id7-profile"/>
      <w:r w:rsidRPr="00B63AC6">
        <w:rPr>
          <w:rFonts w:ascii="Times New Roman" w:eastAsia="Times New Roman" w:hAnsi="Times New Roman" w:cs="Times New Roman"/>
          <w:sz w:val="24"/>
          <w:szCs w:val="24"/>
        </w:rPr>
        <w:fldChar w:fldCharType="begin"/>
      </w:r>
      <w:r w:rsidRPr="00B63AC6">
        <w:rPr>
          <w:rFonts w:ascii="Times New Roman" w:eastAsia="Times New Roman" w:hAnsi="Times New Roman" w:cs="Times New Roman"/>
          <w:sz w:val="24"/>
          <w:szCs w:val="24"/>
        </w:rPr>
        <w:instrText xml:space="preserve"> HYPERLINK "https://www.sciencedirect.com/author/7402336029/alan-e-rubin" </w:instrText>
      </w:r>
      <w:r w:rsidRPr="00B63AC6">
        <w:rPr>
          <w:rFonts w:ascii="Times New Roman" w:eastAsia="Times New Roman" w:hAnsi="Times New Roman" w:cs="Times New Roman"/>
          <w:sz w:val="24"/>
          <w:szCs w:val="24"/>
        </w:rPr>
        <w:fldChar w:fldCharType="separate"/>
      </w:r>
      <w:r w:rsidRPr="00B63AC6">
        <w:rPr>
          <w:rFonts w:ascii="Times New Roman" w:eastAsia="Times New Roman" w:hAnsi="Times New Roman" w:cs="Times New Roman"/>
          <w:color w:val="0000FF"/>
          <w:sz w:val="24"/>
          <w:szCs w:val="24"/>
          <w:u w:val="single"/>
        </w:rPr>
        <w:t xml:space="preserve">Alan E. Rubin </w:t>
      </w:r>
      <w:r w:rsidRPr="00B63AC6">
        <w:rPr>
          <w:rFonts w:ascii="Times New Roman" w:eastAsia="Times New Roman" w:hAnsi="Times New Roman" w:cs="Times New Roman"/>
          <w:color w:val="0000FF"/>
          <w:sz w:val="24"/>
          <w:szCs w:val="24"/>
          <w:u w:val="single"/>
          <w:vertAlign w:val="superscript"/>
        </w:rPr>
        <w:t>1</w:t>
      </w:r>
      <w:r w:rsidRPr="00B63AC6">
        <w:rPr>
          <w:rFonts w:ascii="Times New Roman" w:eastAsia="Times New Roman" w:hAnsi="Times New Roman" w:cs="Times New Roman"/>
          <w:sz w:val="24"/>
          <w:szCs w:val="24"/>
        </w:rPr>
        <w:fldChar w:fldCharType="end"/>
      </w:r>
      <w:bookmarkEnd w:id="0"/>
      <w:r w:rsidRPr="00B63AC6">
        <w:rPr>
          <w:rFonts w:ascii="Times New Roman" w:eastAsia="Times New Roman" w:hAnsi="Times New Roman" w:cs="Times New Roman"/>
          <w:sz w:val="24"/>
          <w:szCs w:val="24"/>
        </w:rPr>
        <w:t xml:space="preserve">, </w:t>
      </w:r>
    </w:p>
    <w:p w:rsidR="00B63AC6" w:rsidRPr="00B63AC6" w:rsidRDefault="00B63AC6" w:rsidP="00B63AC6">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B63AC6">
          <w:rPr>
            <w:rFonts w:ascii="Times New Roman" w:eastAsia="Times New Roman" w:hAnsi="Times New Roman" w:cs="Times New Roman"/>
            <w:color w:val="0000FF"/>
            <w:sz w:val="24"/>
            <w:szCs w:val="24"/>
            <w:u w:val="single"/>
          </w:rPr>
          <w:t>https://doi.org/10.1016/j.gca.2005.01.031</w:t>
        </w:r>
      </w:hyperlink>
      <w:bookmarkStart w:id="1" w:name="_GoBack"/>
      <w:bookmarkEnd w:id="1"/>
      <w:r w:rsidRPr="00B63AC6">
        <w:rPr>
          <w:rFonts w:ascii="Times New Roman" w:eastAsia="Times New Roman" w:hAnsi="Times New Roman" w:cs="Times New Roman"/>
          <w:sz w:val="24"/>
          <w:szCs w:val="24"/>
        </w:rPr>
        <w:t xml:space="preserve"> </w:t>
      </w:r>
    </w:p>
    <w:p w:rsidR="00B63AC6" w:rsidRPr="00B63AC6" w:rsidRDefault="00B63AC6" w:rsidP="00B63AC6">
      <w:pPr>
        <w:spacing w:before="100" w:beforeAutospacing="1" w:after="100" w:afterAutospacing="1" w:line="240" w:lineRule="auto"/>
        <w:outlineLvl w:val="1"/>
        <w:rPr>
          <w:rFonts w:ascii="Times New Roman" w:eastAsia="Times New Roman" w:hAnsi="Times New Roman" w:cs="Times New Roman"/>
          <w:b/>
          <w:bCs/>
          <w:sz w:val="36"/>
          <w:szCs w:val="36"/>
        </w:rPr>
      </w:pPr>
      <w:r w:rsidRPr="00B63AC6">
        <w:rPr>
          <w:rFonts w:ascii="Times New Roman" w:eastAsia="Times New Roman" w:hAnsi="Times New Roman" w:cs="Times New Roman"/>
          <w:b/>
          <w:bCs/>
          <w:sz w:val="36"/>
          <w:szCs w:val="36"/>
        </w:rPr>
        <w:t>Abstract</w:t>
      </w:r>
    </w:p>
    <w:p w:rsidR="00B63AC6" w:rsidRPr="00B63AC6" w:rsidRDefault="00B63AC6" w:rsidP="00B63AC6">
      <w:pPr>
        <w:spacing w:before="100" w:beforeAutospacing="1" w:after="100" w:afterAutospacing="1" w:line="240" w:lineRule="auto"/>
        <w:rPr>
          <w:rFonts w:ascii="Times New Roman" w:eastAsia="Times New Roman" w:hAnsi="Times New Roman" w:cs="Times New Roman"/>
          <w:sz w:val="24"/>
          <w:szCs w:val="24"/>
        </w:rPr>
      </w:pPr>
      <w:r w:rsidRPr="00B63AC6">
        <w:rPr>
          <w:rFonts w:ascii="Times New Roman" w:eastAsia="Times New Roman" w:hAnsi="Times New Roman" w:cs="Times New Roman"/>
          <w:sz w:val="24"/>
          <w:szCs w:val="24"/>
        </w:rPr>
        <w:t>With one exception, the low-</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relict olivine grains within high-</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porphyritic </w:t>
      </w:r>
      <w:hyperlink r:id="rId5" w:tooltip="Learn more about chondrules from ScienceDirect's AI-generated Topic Pages" w:history="1">
        <w:r w:rsidRPr="00B63AC6">
          <w:rPr>
            <w:rFonts w:ascii="Times New Roman" w:eastAsia="Times New Roman" w:hAnsi="Times New Roman" w:cs="Times New Roman"/>
            <w:color w:val="0000FF"/>
            <w:sz w:val="24"/>
            <w:szCs w:val="24"/>
            <w:u w:val="single"/>
          </w:rPr>
          <w:t>chondrules</w:t>
        </w:r>
      </w:hyperlink>
      <w:r w:rsidRPr="00B63AC6">
        <w:rPr>
          <w:rFonts w:ascii="Times New Roman" w:eastAsia="Times New Roman" w:hAnsi="Times New Roman" w:cs="Times New Roman"/>
          <w:sz w:val="24"/>
          <w:szCs w:val="24"/>
        </w:rPr>
        <w:t xml:space="preserve"> in the type 3.0 </w:t>
      </w:r>
      <w:proofErr w:type="spellStart"/>
      <w:r w:rsidRPr="00B63AC6">
        <w:rPr>
          <w:rFonts w:ascii="Times New Roman" w:eastAsia="Times New Roman" w:hAnsi="Times New Roman" w:cs="Times New Roman"/>
          <w:sz w:val="24"/>
          <w:szCs w:val="24"/>
        </w:rPr>
        <w:t>Acfer</w:t>
      </w:r>
      <w:proofErr w:type="spellEnd"/>
      <w:r w:rsidRPr="00B63AC6">
        <w:rPr>
          <w:rFonts w:ascii="Times New Roman" w:eastAsia="Times New Roman" w:hAnsi="Times New Roman" w:cs="Times New Roman"/>
          <w:sz w:val="24"/>
          <w:szCs w:val="24"/>
        </w:rPr>
        <w:t xml:space="preserve"> 094 </w:t>
      </w:r>
      <w:hyperlink r:id="rId6" w:tooltip="Learn more about carbonaceous chondrite from ScienceDirect's AI-generated Topic Pages" w:history="1">
        <w:r w:rsidRPr="00B63AC6">
          <w:rPr>
            <w:rFonts w:ascii="Times New Roman" w:eastAsia="Times New Roman" w:hAnsi="Times New Roman" w:cs="Times New Roman"/>
            <w:color w:val="0000FF"/>
            <w:sz w:val="24"/>
            <w:szCs w:val="24"/>
            <w:u w:val="single"/>
          </w:rPr>
          <w:t>carbonaceous chondrite</w:t>
        </w:r>
      </w:hyperlink>
      <w:r w:rsidRPr="00B63AC6">
        <w:rPr>
          <w:rFonts w:ascii="Times New Roman" w:eastAsia="Times New Roman" w:hAnsi="Times New Roman" w:cs="Times New Roman"/>
          <w:sz w:val="24"/>
          <w:szCs w:val="24"/>
        </w:rPr>
        <w:t xml:space="preserve"> have Δ</w:t>
      </w:r>
      <w:r w:rsidRPr="00B63AC6">
        <w:rPr>
          <w:rFonts w:ascii="Times New Roman" w:eastAsia="Times New Roman" w:hAnsi="Times New Roman" w:cs="Times New Roman"/>
          <w:sz w:val="24"/>
          <w:szCs w:val="24"/>
          <w:vertAlign w:val="superscript"/>
        </w:rPr>
        <w:t>17</w:t>
      </w:r>
      <w:r w:rsidRPr="00B63AC6">
        <w:rPr>
          <w:rFonts w:ascii="Times New Roman" w:eastAsia="Times New Roman" w:hAnsi="Times New Roman" w:cs="Times New Roman"/>
          <w:sz w:val="24"/>
          <w:szCs w:val="24"/>
        </w:rPr>
        <w:t>O (= δ</w:t>
      </w:r>
      <w:r w:rsidRPr="00B63AC6">
        <w:rPr>
          <w:rFonts w:ascii="Times New Roman" w:eastAsia="Times New Roman" w:hAnsi="Times New Roman" w:cs="Times New Roman"/>
          <w:sz w:val="24"/>
          <w:szCs w:val="24"/>
          <w:vertAlign w:val="superscript"/>
        </w:rPr>
        <w:t>17</w:t>
      </w:r>
      <w:r w:rsidRPr="00B63AC6">
        <w:rPr>
          <w:rFonts w:ascii="Times New Roman" w:eastAsia="Times New Roman" w:hAnsi="Times New Roman" w:cs="Times New Roman"/>
          <w:sz w:val="24"/>
          <w:szCs w:val="24"/>
        </w:rPr>
        <w:t>O − 0.52 × δ</w:t>
      </w:r>
      <w:r w:rsidRPr="00B63AC6">
        <w:rPr>
          <w:rFonts w:ascii="Times New Roman" w:eastAsia="Times New Roman" w:hAnsi="Times New Roman" w:cs="Times New Roman"/>
          <w:sz w:val="24"/>
          <w:szCs w:val="24"/>
          <w:vertAlign w:val="superscript"/>
        </w:rPr>
        <w:t>18</w:t>
      </w:r>
      <w:r w:rsidRPr="00B63AC6">
        <w:rPr>
          <w:rFonts w:ascii="Times New Roman" w:eastAsia="Times New Roman" w:hAnsi="Times New Roman" w:cs="Times New Roman"/>
          <w:sz w:val="24"/>
          <w:szCs w:val="24"/>
        </w:rPr>
        <w:t>O) values that are substantially more negative than those of the high-</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olivine host materials. These results are similar to observations made earlier on chondrules in CO3.0 </w:t>
      </w:r>
      <w:hyperlink r:id="rId7" w:tooltip="Learn more about chondrites from ScienceDirect's AI-generated Topic Pages" w:history="1">
        <w:r w:rsidRPr="00B63AC6">
          <w:rPr>
            <w:rFonts w:ascii="Times New Roman" w:eastAsia="Times New Roman" w:hAnsi="Times New Roman" w:cs="Times New Roman"/>
            <w:color w:val="0000FF"/>
            <w:sz w:val="24"/>
            <w:szCs w:val="24"/>
            <w:u w:val="single"/>
          </w:rPr>
          <w:t>chondrites</w:t>
        </w:r>
      </w:hyperlink>
      <w:r w:rsidRPr="00B63AC6">
        <w:rPr>
          <w:rFonts w:ascii="Times New Roman" w:eastAsia="Times New Roman" w:hAnsi="Times New Roman" w:cs="Times New Roman"/>
          <w:sz w:val="24"/>
          <w:szCs w:val="24"/>
        </w:rPr>
        <w:t xml:space="preserve"> and are consistent with two independent models: (1) Nebular solids evolved from low-</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low-Δ</w:t>
      </w:r>
      <w:r w:rsidRPr="00B63AC6">
        <w:rPr>
          <w:rFonts w:ascii="Times New Roman" w:eastAsia="Times New Roman" w:hAnsi="Times New Roman" w:cs="Times New Roman"/>
          <w:sz w:val="24"/>
          <w:szCs w:val="24"/>
          <w:vertAlign w:val="superscript"/>
        </w:rPr>
        <w:t>17</w:t>
      </w:r>
      <w:r w:rsidRPr="00B63AC6">
        <w:rPr>
          <w:rFonts w:ascii="Times New Roman" w:eastAsia="Times New Roman" w:hAnsi="Times New Roman" w:cs="Times New Roman"/>
          <w:sz w:val="24"/>
          <w:szCs w:val="24"/>
        </w:rPr>
        <w:t>O compositions towards high-</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more positive Δ</w:t>
      </w:r>
      <w:r w:rsidRPr="00B63AC6">
        <w:rPr>
          <w:rFonts w:ascii="Times New Roman" w:eastAsia="Times New Roman" w:hAnsi="Times New Roman" w:cs="Times New Roman"/>
          <w:sz w:val="24"/>
          <w:szCs w:val="24"/>
          <w:vertAlign w:val="superscript"/>
        </w:rPr>
        <w:t>17</w:t>
      </w:r>
      <w:r w:rsidRPr="00B63AC6">
        <w:rPr>
          <w:rFonts w:ascii="Times New Roman" w:eastAsia="Times New Roman" w:hAnsi="Times New Roman" w:cs="Times New Roman"/>
          <w:sz w:val="24"/>
          <w:szCs w:val="24"/>
        </w:rPr>
        <w:t>O compositions; and (2) the range of compositions resulted from the mixing of two independently formed components. The two models predict different trajectories on a Δ</w:t>
      </w:r>
      <w:r w:rsidRPr="00B63AC6">
        <w:rPr>
          <w:rFonts w:ascii="Times New Roman" w:eastAsia="Times New Roman" w:hAnsi="Times New Roman" w:cs="Times New Roman"/>
          <w:sz w:val="24"/>
          <w:szCs w:val="24"/>
          <w:vertAlign w:val="superscript"/>
        </w:rPr>
        <w:t>17</w:t>
      </w:r>
      <w:r w:rsidRPr="00B63AC6">
        <w:rPr>
          <w:rFonts w:ascii="Times New Roman" w:eastAsia="Times New Roman" w:hAnsi="Times New Roman" w:cs="Times New Roman"/>
          <w:sz w:val="24"/>
          <w:szCs w:val="24"/>
        </w:rPr>
        <w:t>O vs. log Fe/Mg (olivine) diagram, but our sample set has too few values at intermediate Fe/Mg ratios to yield a definitive answer.</w:t>
      </w:r>
    </w:p>
    <w:p w:rsidR="00B63AC6" w:rsidRPr="00B63AC6" w:rsidRDefault="00B63AC6" w:rsidP="00B63AC6">
      <w:pPr>
        <w:spacing w:before="100" w:beforeAutospacing="1" w:after="100" w:afterAutospacing="1" w:line="240" w:lineRule="auto"/>
        <w:rPr>
          <w:rFonts w:ascii="Times New Roman" w:eastAsia="Times New Roman" w:hAnsi="Times New Roman" w:cs="Times New Roman"/>
          <w:sz w:val="24"/>
          <w:szCs w:val="24"/>
        </w:rPr>
      </w:pPr>
      <w:r w:rsidRPr="00B63AC6">
        <w:rPr>
          <w:rFonts w:ascii="Times New Roman" w:eastAsia="Times New Roman" w:hAnsi="Times New Roman" w:cs="Times New Roman"/>
          <w:sz w:val="24"/>
          <w:szCs w:val="24"/>
        </w:rPr>
        <w:t xml:space="preserve">Published data showing that </w:t>
      </w:r>
      <w:proofErr w:type="spellStart"/>
      <w:r w:rsidRPr="00B63AC6">
        <w:rPr>
          <w:rFonts w:ascii="Times New Roman" w:eastAsia="Times New Roman" w:hAnsi="Times New Roman" w:cs="Times New Roman"/>
          <w:sz w:val="24"/>
          <w:szCs w:val="24"/>
        </w:rPr>
        <w:t>Acfer</w:t>
      </w:r>
      <w:proofErr w:type="spellEnd"/>
      <w:r w:rsidRPr="00B63AC6">
        <w:rPr>
          <w:rFonts w:ascii="Times New Roman" w:eastAsia="Times New Roman" w:hAnsi="Times New Roman" w:cs="Times New Roman"/>
          <w:sz w:val="24"/>
          <w:szCs w:val="24"/>
        </w:rPr>
        <w:t xml:space="preserve"> 094 has higher volatile contents than CO chondrites suggest a closer link to CM chondrites. This is consistent with the high modal matrix abundance in </w:t>
      </w:r>
      <w:proofErr w:type="spellStart"/>
      <w:r w:rsidRPr="00B63AC6">
        <w:rPr>
          <w:rFonts w:ascii="Times New Roman" w:eastAsia="Times New Roman" w:hAnsi="Times New Roman" w:cs="Times New Roman"/>
          <w:sz w:val="24"/>
          <w:szCs w:val="24"/>
        </w:rPr>
        <w:t>Acfer</w:t>
      </w:r>
      <w:proofErr w:type="spellEnd"/>
      <w:r w:rsidRPr="00B63AC6">
        <w:rPr>
          <w:rFonts w:ascii="Times New Roman" w:eastAsia="Times New Roman" w:hAnsi="Times New Roman" w:cs="Times New Roman"/>
          <w:sz w:val="24"/>
          <w:szCs w:val="24"/>
        </w:rPr>
        <w:t xml:space="preserve"> 094 (49 vol.%). </w:t>
      </w:r>
      <w:proofErr w:type="spellStart"/>
      <w:r w:rsidRPr="00B63AC6">
        <w:rPr>
          <w:rFonts w:ascii="Times New Roman" w:eastAsia="Times New Roman" w:hAnsi="Times New Roman" w:cs="Times New Roman"/>
          <w:sz w:val="24"/>
          <w:szCs w:val="24"/>
        </w:rPr>
        <w:t>Acfer</w:t>
      </w:r>
      <w:proofErr w:type="spellEnd"/>
      <w:r w:rsidRPr="00B63AC6">
        <w:rPr>
          <w:rFonts w:ascii="Times New Roman" w:eastAsia="Times New Roman" w:hAnsi="Times New Roman" w:cs="Times New Roman"/>
          <w:sz w:val="24"/>
          <w:szCs w:val="24"/>
        </w:rPr>
        <w:t xml:space="preserve"> 094 may be an unaltered CM chondrite or an exceptionally matrix-rich CO chondrite. Chondrules in </w:t>
      </w:r>
      <w:proofErr w:type="spellStart"/>
      <w:r w:rsidRPr="00B63AC6">
        <w:rPr>
          <w:rFonts w:ascii="Times New Roman" w:eastAsia="Times New Roman" w:hAnsi="Times New Roman" w:cs="Times New Roman"/>
          <w:sz w:val="24"/>
          <w:szCs w:val="24"/>
        </w:rPr>
        <w:t>Acfer</w:t>
      </w:r>
      <w:proofErr w:type="spellEnd"/>
      <w:r w:rsidRPr="00B63AC6">
        <w:rPr>
          <w:rFonts w:ascii="Times New Roman" w:eastAsia="Times New Roman" w:hAnsi="Times New Roman" w:cs="Times New Roman"/>
          <w:sz w:val="24"/>
          <w:szCs w:val="24"/>
        </w:rPr>
        <w:t xml:space="preserve"> 094 and in CO and CM carbonaceous chondrites appear to sample the same population. Textural differences between </w:t>
      </w:r>
      <w:proofErr w:type="spellStart"/>
      <w:r w:rsidRPr="00B63AC6">
        <w:rPr>
          <w:rFonts w:ascii="Times New Roman" w:eastAsia="Times New Roman" w:hAnsi="Times New Roman" w:cs="Times New Roman"/>
          <w:sz w:val="24"/>
          <w:szCs w:val="24"/>
        </w:rPr>
        <w:t>Acfer</w:t>
      </w:r>
      <w:proofErr w:type="spellEnd"/>
      <w:r w:rsidRPr="00B63AC6">
        <w:rPr>
          <w:rFonts w:ascii="Times New Roman" w:eastAsia="Times New Roman" w:hAnsi="Times New Roman" w:cs="Times New Roman"/>
          <w:sz w:val="24"/>
          <w:szCs w:val="24"/>
        </w:rPr>
        <w:t xml:space="preserve"> 094 and CM chondrites are largely attributable to the high degree of </w:t>
      </w:r>
      <w:hyperlink r:id="rId8" w:tooltip="Learn more about hydrothermal alteration from ScienceDirect's AI-generated Topic Pages" w:history="1">
        <w:r w:rsidRPr="00B63AC6">
          <w:rPr>
            <w:rFonts w:ascii="Times New Roman" w:eastAsia="Times New Roman" w:hAnsi="Times New Roman" w:cs="Times New Roman"/>
            <w:color w:val="0000FF"/>
            <w:sz w:val="24"/>
            <w:szCs w:val="24"/>
            <w:u w:val="single"/>
          </w:rPr>
          <w:t>hydrothermal alteration</w:t>
        </w:r>
      </w:hyperlink>
      <w:r w:rsidRPr="00B63AC6">
        <w:rPr>
          <w:rFonts w:ascii="Times New Roman" w:eastAsia="Times New Roman" w:hAnsi="Times New Roman" w:cs="Times New Roman"/>
          <w:sz w:val="24"/>
          <w:szCs w:val="24"/>
        </w:rPr>
        <w:t xml:space="preserve"> that the CM chondrites experienced in an </w:t>
      </w:r>
      <w:proofErr w:type="spellStart"/>
      <w:r w:rsidRPr="00B63AC6">
        <w:rPr>
          <w:rFonts w:ascii="Times New Roman" w:eastAsia="Times New Roman" w:hAnsi="Times New Roman" w:cs="Times New Roman"/>
          <w:sz w:val="24"/>
          <w:szCs w:val="24"/>
        </w:rPr>
        <w:t>asteroidal</w:t>
      </w:r>
      <w:proofErr w:type="spellEnd"/>
      <w:r w:rsidRPr="00B63AC6">
        <w:rPr>
          <w:rFonts w:ascii="Times New Roman" w:eastAsia="Times New Roman" w:hAnsi="Times New Roman" w:cs="Times New Roman"/>
          <w:sz w:val="24"/>
          <w:szCs w:val="24"/>
        </w:rPr>
        <w:t xml:space="preserve"> setting.</w:t>
      </w:r>
    </w:p>
    <w:p w:rsidR="00B63AC6" w:rsidRPr="00B63AC6" w:rsidRDefault="00B63AC6" w:rsidP="00B63AC6">
      <w:pPr>
        <w:spacing w:before="100" w:beforeAutospacing="1" w:after="100" w:afterAutospacing="1" w:line="240" w:lineRule="auto"/>
        <w:outlineLvl w:val="1"/>
        <w:rPr>
          <w:rFonts w:ascii="Times New Roman" w:eastAsia="Times New Roman" w:hAnsi="Times New Roman" w:cs="Times New Roman"/>
          <w:b/>
          <w:bCs/>
          <w:sz w:val="36"/>
          <w:szCs w:val="36"/>
        </w:rPr>
      </w:pPr>
      <w:r w:rsidRPr="00B63AC6">
        <w:rPr>
          <w:rFonts w:ascii="Times New Roman" w:eastAsia="Times New Roman" w:hAnsi="Times New Roman" w:cs="Times New Roman"/>
          <w:b/>
          <w:bCs/>
          <w:sz w:val="36"/>
          <w:szCs w:val="36"/>
        </w:rPr>
        <w:t>Introduction</w:t>
      </w:r>
    </w:p>
    <w:p w:rsidR="00B63AC6" w:rsidRPr="00B63AC6" w:rsidRDefault="00B63AC6" w:rsidP="00B63AC6">
      <w:pPr>
        <w:spacing w:before="100" w:beforeAutospacing="1" w:after="100" w:afterAutospacing="1" w:line="240" w:lineRule="auto"/>
        <w:rPr>
          <w:rFonts w:ascii="Times New Roman" w:eastAsia="Times New Roman" w:hAnsi="Times New Roman" w:cs="Times New Roman"/>
          <w:sz w:val="24"/>
          <w:szCs w:val="24"/>
        </w:rPr>
      </w:pPr>
      <w:r w:rsidRPr="00B63AC6">
        <w:rPr>
          <w:rFonts w:ascii="Times New Roman" w:eastAsia="Times New Roman" w:hAnsi="Times New Roman" w:cs="Times New Roman"/>
          <w:sz w:val="24"/>
          <w:szCs w:val="24"/>
        </w:rPr>
        <w:t xml:space="preserve">It is widely accepted that chondrules formed by the flash melting of precursor solids (e.g., </w:t>
      </w:r>
      <w:proofErr w:type="spellStart"/>
      <w:r w:rsidRPr="00B63AC6">
        <w:rPr>
          <w:rFonts w:ascii="Times New Roman" w:eastAsia="Times New Roman" w:hAnsi="Times New Roman" w:cs="Times New Roman"/>
          <w:sz w:val="24"/>
          <w:szCs w:val="24"/>
        </w:rPr>
        <w:t>Hewins</w:t>
      </w:r>
      <w:proofErr w:type="spellEnd"/>
      <w:r w:rsidRPr="00B63AC6">
        <w:rPr>
          <w:rFonts w:ascii="Times New Roman" w:eastAsia="Times New Roman" w:hAnsi="Times New Roman" w:cs="Times New Roman"/>
          <w:sz w:val="24"/>
          <w:szCs w:val="24"/>
        </w:rPr>
        <w:t xml:space="preserve">, 1996). Because most chondrules have low permeabilities to hydrous fluids and are thus resistant to alteration, they are well suited to the preservation of the compositional and isotopic record of nebular solids; this is particularly true for chondrules in type 3.0 chondrites that have experienced minimal alteration. In addition, mafic phenocrysts resist alteration better than chondrule </w:t>
      </w:r>
      <w:proofErr w:type="spellStart"/>
      <w:r w:rsidRPr="00B63AC6">
        <w:rPr>
          <w:rFonts w:ascii="Times New Roman" w:eastAsia="Times New Roman" w:hAnsi="Times New Roman" w:cs="Times New Roman"/>
          <w:sz w:val="24"/>
          <w:szCs w:val="24"/>
        </w:rPr>
        <w:t>mesostases</w:t>
      </w:r>
      <w:proofErr w:type="spellEnd"/>
      <w:r w:rsidRPr="00B63AC6">
        <w:rPr>
          <w:rFonts w:ascii="Times New Roman" w:eastAsia="Times New Roman" w:hAnsi="Times New Roman" w:cs="Times New Roman"/>
          <w:sz w:val="24"/>
          <w:szCs w:val="24"/>
        </w:rPr>
        <w:t>.</w:t>
      </w:r>
    </w:p>
    <w:p w:rsidR="00B63AC6" w:rsidRPr="00B63AC6" w:rsidRDefault="00B63AC6" w:rsidP="00B63AC6">
      <w:pPr>
        <w:spacing w:before="100" w:beforeAutospacing="1" w:after="100" w:afterAutospacing="1" w:line="240" w:lineRule="auto"/>
        <w:rPr>
          <w:rFonts w:ascii="Times New Roman" w:eastAsia="Times New Roman" w:hAnsi="Times New Roman" w:cs="Times New Roman"/>
          <w:sz w:val="24"/>
          <w:szCs w:val="24"/>
        </w:rPr>
      </w:pPr>
      <w:r w:rsidRPr="00B63AC6">
        <w:rPr>
          <w:rFonts w:ascii="Times New Roman" w:eastAsia="Times New Roman" w:hAnsi="Times New Roman" w:cs="Times New Roman"/>
          <w:sz w:val="24"/>
          <w:szCs w:val="24"/>
        </w:rPr>
        <w:t>Recent studies by Jones et al. (2000) and Wasson et al. (2004) showed that, on average, low-</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chondrules in CO3.0 chondrites have more negative Δ</w:t>
      </w:r>
      <w:r w:rsidRPr="00B63AC6">
        <w:rPr>
          <w:rFonts w:ascii="Times New Roman" w:eastAsia="Times New Roman" w:hAnsi="Times New Roman" w:cs="Times New Roman"/>
          <w:sz w:val="24"/>
          <w:szCs w:val="24"/>
          <w:vertAlign w:val="superscript"/>
        </w:rPr>
        <w:t>17</w:t>
      </w:r>
      <w:r w:rsidRPr="00B63AC6">
        <w:rPr>
          <w:rFonts w:ascii="Times New Roman" w:eastAsia="Times New Roman" w:hAnsi="Times New Roman" w:cs="Times New Roman"/>
          <w:sz w:val="24"/>
          <w:szCs w:val="24"/>
        </w:rPr>
        <w:t>O values than high-</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chondrules. Expressed in terms of olivine composition, we followed our recent practice and set the boundary between low-</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and high-</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modes at Fa9. Wasson and Rubin (2003) reported that low-</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relict grains are ubiquitous in high-</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porphyritic chondrules of the CO3.0 chondrite Yamato 81020, and a study of five of these relict-host sets by </w:t>
      </w:r>
      <w:proofErr w:type="spellStart"/>
      <w:r w:rsidRPr="00B63AC6">
        <w:rPr>
          <w:rFonts w:ascii="Times New Roman" w:eastAsia="Times New Roman" w:hAnsi="Times New Roman" w:cs="Times New Roman"/>
          <w:sz w:val="24"/>
          <w:szCs w:val="24"/>
        </w:rPr>
        <w:t>Kunihiro</w:t>
      </w:r>
      <w:proofErr w:type="spellEnd"/>
      <w:r w:rsidRPr="00B63AC6">
        <w:rPr>
          <w:rFonts w:ascii="Times New Roman" w:eastAsia="Times New Roman" w:hAnsi="Times New Roman" w:cs="Times New Roman"/>
          <w:sz w:val="24"/>
          <w:szCs w:val="24"/>
        </w:rPr>
        <w:t xml:space="preserve"> et al. (2004) showed that Δ</w:t>
      </w:r>
      <w:r w:rsidRPr="00B63AC6">
        <w:rPr>
          <w:rFonts w:ascii="Times New Roman" w:eastAsia="Times New Roman" w:hAnsi="Times New Roman" w:cs="Times New Roman"/>
          <w:sz w:val="24"/>
          <w:szCs w:val="24"/>
          <w:vertAlign w:val="superscript"/>
        </w:rPr>
        <w:t>17</w:t>
      </w:r>
      <w:r w:rsidRPr="00B63AC6">
        <w:rPr>
          <w:rFonts w:ascii="Times New Roman" w:eastAsia="Times New Roman" w:hAnsi="Times New Roman" w:cs="Times New Roman"/>
          <w:sz w:val="24"/>
          <w:szCs w:val="24"/>
        </w:rPr>
        <w:t>O values in low-</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relict grains are uniformly more negative than those in the hosts, and generally similar to </w:t>
      </w:r>
      <w:r w:rsidRPr="00B63AC6">
        <w:rPr>
          <w:rFonts w:ascii="Times New Roman" w:eastAsia="Times New Roman" w:hAnsi="Times New Roman" w:cs="Times New Roman"/>
          <w:sz w:val="24"/>
          <w:szCs w:val="24"/>
        </w:rPr>
        <w:lastRenderedPageBreak/>
        <w:t>those in phenocrysts of low-</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chondrules. In contrast, a high-</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relict studied by </w:t>
      </w:r>
      <w:proofErr w:type="spellStart"/>
      <w:r w:rsidRPr="00B63AC6">
        <w:rPr>
          <w:rFonts w:ascii="Times New Roman" w:eastAsia="Times New Roman" w:hAnsi="Times New Roman" w:cs="Times New Roman"/>
          <w:sz w:val="24"/>
          <w:szCs w:val="24"/>
        </w:rPr>
        <w:t>Kunihiro</w:t>
      </w:r>
      <w:proofErr w:type="spellEnd"/>
      <w:r w:rsidRPr="00B63AC6">
        <w:rPr>
          <w:rFonts w:ascii="Times New Roman" w:eastAsia="Times New Roman" w:hAnsi="Times New Roman" w:cs="Times New Roman"/>
          <w:sz w:val="24"/>
          <w:szCs w:val="24"/>
        </w:rPr>
        <w:t xml:space="preserve"> et al. (2004) has a Δ</w:t>
      </w:r>
      <w:r w:rsidRPr="00B63AC6">
        <w:rPr>
          <w:rFonts w:ascii="Times New Roman" w:eastAsia="Times New Roman" w:hAnsi="Times New Roman" w:cs="Times New Roman"/>
          <w:sz w:val="24"/>
          <w:szCs w:val="24"/>
          <w:vertAlign w:val="superscript"/>
        </w:rPr>
        <w:t>17</w:t>
      </w:r>
      <w:r w:rsidRPr="00B63AC6">
        <w:rPr>
          <w:rFonts w:ascii="Times New Roman" w:eastAsia="Times New Roman" w:hAnsi="Times New Roman" w:cs="Times New Roman"/>
          <w:sz w:val="24"/>
          <w:szCs w:val="24"/>
        </w:rPr>
        <w:t>O value marginally higher than that in the host.</w:t>
      </w:r>
    </w:p>
    <w:p w:rsidR="00B63AC6" w:rsidRPr="00B63AC6" w:rsidRDefault="00B63AC6" w:rsidP="00B63AC6">
      <w:pPr>
        <w:spacing w:before="100" w:beforeAutospacing="1" w:after="100" w:afterAutospacing="1" w:line="240" w:lineRule="auto"/>
        <w:rPr>
          <w:rFonts w:ascii="Times New Roman" w:eastAsia="Times New Roman" w:hAnsi="Times New Roman" w:cs="Times New Roman"/>
          <w:sz w:val="24"/>
          <w:szCs w:val="24"/>
        </w:rPr>
      </w:pPr>
      <w:r w:rsidRPr="00B63AC6">
        <w:rPr>
          <w:rFonts w:ascii="Times New Roman" w:eastAsia="Times New Roman" w:hAnsi="Times New Roman" w:cs="Times New Roman"/>
          <w:sz w:val="24"/>
          <w:szCs w:val="24"/>
        </w:rPr>
        <w:t xml:space="preserve">The </w:t>
      </w:r>
      <w:proofErr w:type="spellStart"/>
      <w:r w:rsidRPr="00B63AC6">
        <w:rPr>
          <w:rFonts w:ascii="Times New Roman" w:eastAsia="Times New Roman" w:hAnsi="Times New Roman" w:cs="Times New Roman"/>
          <w:sz w:val="24"/>
          <w:szCs w:val="24"/>
        </w:rPr>
        <w:t>Acfer</w:t>
      </w:r>
      <w:proofErr w:type="spellEnd"/>
      <w:r w:rsidRPr="00B63AC6">
        <w:rPr>
          <w:rFonts w:ascii="Times New Roman" w:eastAsia="Times New Roman" w:hAnsi="Times New Roman" w:cs="Times New Roman"/>
          <w:sz w:val="24"/>
          <w:szCs w:val="24"/>
        </w:rPr>
        <w:t xml:space="preserve"> 094 chondrite is among the most primitive carbonaceous chondrites. It shows no evidence of thermal alteration and minimal evidence of aqueous alteration (</w:t>
      </w:r>
      <w:proofErr w:type="spellStart"/>
      <w:r w:rsidRPr="00B63AC6">
        <w:rPr>
          <w:rFonts w:ascii="Times New Roman" w:eastAsia="Times New Roman" w:hAnsi="Times New Roman" w:cs="Times New Roman"/>
          <w:sz w:val="24"/>
          <w:szCs w:val="24"/>
        </w:rPr>
        <w:t>Greshake</w:t>
      </w:r>
      <w:proofErr w:type="spellEnd"/>
      <w:r w:rsidRPr="00B63AC6">
        <w:rPr>
          <w:rFonts w:ascii="Times New Roman" w:eastAsia="Times New Roman" w:hAnsi="Times New Roman" w:cs="Times New Roman"/>
          <w:sz w:val="24"/>
          <w:szCs w:val="24"/>
        </w:rPr>
        <w:t xml:space="preserve">, 1997); it has the highest known content of </w:t>
      </w:r>
      <w:proofErr w:type="spellStart"/>
      <w:r w:rsidRPr="00B63AC6">
        <w:rPr>
          <w:rFonts w:ascii="Times New Roman" w:eastAsia="Times New Roman" w:hAnsi="Times New Roman" w:cs="Times New Roman"/>
          <w:sz w:val="24"/>
          <w:szCs w:val="24"/>
        </w:rPr>
        <w:t>presolar</w:t>
      </w:r>
      <w:proofErr w:type="spellEnd"/>
      <w:r w:rsidRPr="00B63AC6">
        <w:rPr>
          <w:rFonts w:ascii="Times New Roman" w:eastAsia="Times New Roman" w:hAnsi="Times New Roman" w:cs="Times New Roman"/>
          <w:sz w:val="24"/>
          <w:szCs w:val="24"/>
        </w:rPr>
        <w:t xml:space="preserve"> </w:t>
      </w:r>
      <w:proofErr w:type="spellStart"/>
      <w:r w:rsidRPr="00B63AC6">
        <w:rPr>
          <w:rFonts w:ascii="Times New Roman" w:eastAsia="Times New Roman" w:hAnsi="Times New Roman" w:cs="Times New Roman"/>
          <w:sz w:val="24"/>
          <w:szCs w:val="24"/>
        </w:rPr>
        <w:t>SiC</w:t>
      </w:r>
      <w:proofErr w:type="spellEnd"/>
      <w:r w:rsidRPr="00B63AC6">
        <w:rPr>
          <w:rFonts w:ascii="Times New Roman" w:eastAsia="Times New Roman" w:hAnsi="Times New Roman" w:cs="Times New Roman"/>
          <w:sz w:val="24"/>
          <w:szCs w:val="24"/>
        </w:rPr>
        <w:t xml:space="preserve"> grains and the second highest content of </w:t>
      </w:r>
      <w:proofErr w:type="spellStart"/>
      <w:r w:rsidRPr="00B63AC6">
        <w:rPr>
          <w:rFonts w:ascii="Times New Roman" w:eastAsia="Times New Roman" w:hAnsi="Times New Roman" w:cs="Times New Roman"/>
          <w:sz w:val="24"/>
          <w:szCs w:val="24"/>
        </w:rPr>
        <w:t>presolar</w:t>
      </w:r>
      <w:proofErr w:type="spellEnd"/>
      <w:r w:rsidRPr="00B63AC6">
        <w:rPr>
          <w:rFonts w:ascii="Times New Roman" w:eastAsia="Times New Roman" w:hAnsi="Times New Roman" w:cs="Times New Roman"/>
          <w:sz w:val="24"/>
          <w:szCs w:val="24"/>
        </w:rPr>
        <w:t xml:space="preserve"> diamonds after the CI chondrite </w:t>
      </w:r>
      <w:proofErr w:type="spellStart"/>
      <w:r w:rsidRPr="00B63AC6">
        <w:rPr>
          <w:rFonts w:ascii="Times New Roman" w:eastAsia="Times New Roman" w:hAnsi="Times New Roman" w:cs="Times New Roman"/>
          <w:sz w:val="24"/>
          <w:szCs w:val="24"/>
        </w:rPr>
        <w:t>Orgueil</w:t>
      </w:r>
      <w:proofErr w:type="spellEnd"/>
      <w:r w:rsidRPr="00B63AC6">
        <w:rPr>
          <w:rFonts w:ascii="Times New Roman" w:eastAsia="Times New Roman" w:hAnsi="Times New Roman" w:cs="Times New Roman"/>
          <w:sz w:val="24"/>
          <w:szCs w:val="24"/>
        </w:rPr>
        <w:t xml:space="preserve"> (Newton et al., 1995). The texture of </w:t>
      </w:r>
      <w:proofErr w:type="spellStart"/>
      <w:r w:rsidRPr="00B63AC6">
        <w:rPr>
          <w:rFonts w:ascii="Times New Roman" w:eastAsia="Times New Roman" w:hAnsi="Times New Roman" w:cs="Times New Roman"/>
          <w:sz w:val="24"/>
          <w:szCs w:val="24"/>
        </w:rPr>
        <w:t>Acfer</w:t>
      </w:r>
      <w:proofErr w:type="spellEnd"/>
      <w:r w:rsidRPr="00B63AC6">
        <w:rPr>
          <w:rFonts w:ascii="Times New Roman" w:eastAsia="Times New Roman" w:hAnsi="Times New Roman" w:cs="Times New Roman"/>
          <w:sz w:val="24"/>
          <w:szCs w:val="24"/>
        </w:rPr>
        <w:t xml:space="preserve"> 094 is very similar to those in CO3.0 chondrites such as Yamato 81020 (Y81020) and Allan Hills A77307 (ALHA77307), but </w:t>
      </w:r>
      <w:proofErr w:type="spellStart"/>
      <w:r w:rsidRPr="00B63AC6">
        <w:rPr>
          <w:rFonts w:ascii="Times New Roman" w:eastAsia="Times New Roman" w:hAnsi="Times New Roman" w:cs="Times New Roman"/>
          <w:sz w:val="24"/>
          <w:szCs w:val="24"/>
        </w:rPr>
        <w:t>Spettel</w:t>
      </w:r>
      <w:proofErr w:type="spellEnd"/>
      <w:r w:rsidRPr="00B63AC6">
        <w:rPr>
          <w:rFonts w:ascii="Times New Roman" w:eastAsia="Times New Roman" w:hAnsi="Times New Roman" w:cs="Times New Roman"/>
          <w:sz w:val="24"/>
          <w:szCs w:val="24"/>
        </w:rPr>
        <w:t xml:space="preserve"> et al. (1992) reported high contents in </w:t>
      </w:r>
      <w:proofErr w:type="spellStart"/>
      <w:r w:rsidRPr="00B63AC6">
        <w:rPr>
          <w:rFonts w:ascii="Times New Roman" w:eastAsia="Times New Roman" w:hAnsi="Times New Roman" w:cs="Times New Roman"/>
          <w:sz w:val="24"/>
          <w:szCs w:val="24"/>
        </w:rPr>
        <w:t>Acfer</w:t>
      </w:r>
      <w:proofErr w:type="spellEnd"/>
      <w:r w:rsidRPr="00B63AC6">
        <w:rPr>
          <w:rFonts w:ascii="Times New Roman" w:eastAsia="Times New Roman" w:hAnsi="Times New Roman" w:cs="Times New Roman"/>
          <w:sz w:val="24"/>
          <w:szCs w:val="24"/>
        </w:rPr>
        <w:t xml:space="preserve"> 094 of the volatile </w:t>
      </w:r>
      <w:proofErr w:type="gramStart"/>
      <w:r w:rsidRPr="00B63AC6">
        <w:rPr>
          <w:rFonts w:ascii="Times New Roman" w:eastAsia="Times New Roman" w:hAnsi="Times New Roman" w:cs="Times New Roman"/>
          <w:sz w:val="24"/>
          <w:szCs w:val="24"/>
        </w:rPr>
        <w:t>metals</w:t>
      </w:r>
      <w:proofErr w:type="gramEnd"/>
      <w:r w:rsidRPr="00B63AC6">
        <w:rPr>
          <w:rFonts w:ascii="Times New Roman" w:eastAsia="Times New Roman" w:hAnsi="Times New Roman" w:cs="Times New Roman"/>
          <w:sz w:val="24"/>
          <w:szCs w:val="24"/>
        </w:rPr>
        <w:t xml:space="preserve"> Zn and Se, suggesting a classification as a CM chondrite. Because </w:t>
      </w:r>
      <w:proofErr w:type="spellStart"/>
      <w:r w:rsidRPr="00B63AC6">
        <w:rPr>
          <w:rFonts w:ascii="Times New Roman" w:eastAsia="Times New Roman" w:hAnsi="Times New Roman" w:cs="Times New Roman"/>
          <w:sz w:val="24"/>
          <w:szCs w:val="24"/>
        </w:rPr>
        <w:t>Acfer</w:t>
      </w:r>
      <w:proofErr w:type="spellEnd"/>
      <w:r w:rsidRPr="00B63AC6">
        <w:rPr>
          <w:rFonts w:ascii="Times New Roman" w:eastAsia="Times New Roman" w:hAnsi="Times New Roman" w:cs="Times New Roman"/>
          <w:sz w:val="24"/>
          <w:szCs w:val="24"/>
        </w:rPr>
        <w:t xml:space="preserve"> 094 is uniquely important, because it and Y81020 may belong to different groups of carbonaceous chondrites, and because the statistics of O-isotopic compositions in relict-host pairs is still limited, we have used the UCLA </w:t>
      </w:r>
      <w:proofErr w:type="spellStart"/>
      <w:r w:rsidRPr="00B63AC6">
        <w:rPr>
          <w:rFonts w:ascii="Times New Roman" w:eastAsia="Times New Roman" w:hAnsi="Times New Roman" w:cs="Times New Roman"/>
          <w:sz w:val="24"/>
          <w:szCs w:val="24"/>
        </w:rPr>
        <w:t>Cameca</w:t>
      </w:r>
      <w:proofErr w:type="spellEnd"/>
      <w:r w:rsidRPr="00B63AC6">
        <w:rPr>
          <w:rFonts w:ascii="Times New Roman" w:eastAsia="Times New Roman" w:hAnsi="Times New Roman" w:cs="Times New Roman"/>
          <w:sz w:val="24"/>
          <w:szCs w:val="24"/>
        </w:rPr>
        <w:t xml:space="preserve"> 1270 ion probe to study five high-</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chondrules and their enclosed low-</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relicts in </w:t>
      </w:r>
      <w:proofErr w:type="spellStart"/>
      <w:r w:rsidRPr="00B63AC6">
        <w:rPr>
          <w:rFonts w:ascii="Times New Roman" w:eastAsia="Times New Roman" w:hAnsi="Times New Roman" w:cs="Times New Roman"/>
          <w:sz w:val="24"/>
          <w:szCs w:val="24"/>
        </w:rPr>
        <w:t>Acfer</w:t>
      </w:r>
      <w:proofErr w:type="spellEnd"/>
      <w:r w:rsidRPr="00B63AC6">
        <w:rPr>
          <w:rFonts w:ascii="Times New Roman" w:eastAsia="Times New Roman" w:hAnsi="Times New Roman" w:cs="Times New Roman"/>
          <w:sz w:val="24"/>
          <w:szCs w:val="24"/>
        </w:rPr>
        <w:t xml:space="preserve"> 094.</w:t>
      </w:r>
    </w:p>
    <w:p w:rsidR="00B63AC6" w:rsidRPr="00B63AC6" w:rsidRDefault="00B63AC6" w:rsidP="00B63AC6">
      <w:pPr>
        <w:spacing w:before="100" w:beforeAutospacing="1" w:after="100" w:afterAutospacing="1" w:line="240" w:lineRule="auto"/>
        <w:outlineLvl w:val="1"/>
        <w:rPr>
          <w:rFonts w:ascii="Times New Roman" w:eastAsia="Times New Roman" w:hAnsi="Times New Roman" w:cs="Times New Roman"/>
          <w:b/>
          <w:bCs/>
          <w:sz w:val="36"/>
          <w:szCs w:val="36"/>
        </w:rPr>
      </w:pPr>
      <w:r w:rsidRPr="00B63AC6">
        <w:rPr>
          <w:rFonts w:ascii="Times New Roman" w:eastAsia="Times New Roman" w:hAnsi="Times New Roman" w:cs="Times New Roman"/>
          <w:b/>
          <w:bCs/>
          <w:sz w:val="36"/>
          <w:szCs w:val="36"/>
        </w:rPr>
        <w:t>Section snippets</w:t>
      </w:r>
    </w:p>
    <w:p w:rsidR="00B63AC6" w:rsidRPr="00B63AC6" w:rsidRDefault="00B63AC6" w:rsidP="00B63AC6">
      <w:pPr>
        <w:spacing w:before="100" w:beforeAutospacing="1" w:after="100" w:afterAutospacing="1" w:line="240" w:lineRule="auto"/>
        <w:outlineLvl w:val="1"/>
        <w:rPr>
          <w:rFonts w:ascii="Times New Roman" w:eastAsia="Times New Roman" w:hAnsi="Times New Roman" w:cs="Times New Roman"/>
          <w:b/>
          <w:bCs/>
          <w:sz w:val="36"/>
          <w:szCs w:val="36"/>
        </w:rPr>
      </w:pPr>
      <w:r w:rsidRPr="00B63AC6">
        <w:rPr>
          <w:rFonts w:ascii="Times New Roman" w:eastAsia="Times New Roman" w:hAnsi="Times New Roman" w:cs="Times New Roman"/>
          <w:b/>
          <w:bCs/>
          <w:sz w:val="36"/>
          <w:szCs w:val="36"/>
        </w:rPr>
        <w:t>Petrographic Techniques</w:t>
      </w:r>
    </w:p>
    <w:p w:rsidR="00B63AC6" w:rsidRPr="00B63AC6" w:rsidRDefault="00B63AC6" w:rsidP="00B63AC6">
      <w:pPr>
        <w:spacing w:before="100" w:beforeAutospacing="1" w:after="100" w:afterAutospacing="1" w:line="240" w:lineRule="auto"/>
        <w:rPr>
          <w:rFonts w:ascii="Times New Roman" w:eastAsia="Times New Roman" w:hAnsi="Times New Roman" w:cs="Times New Roman"/>
          <w:sz w:val="24"/>
          <w:szCs w:val="24"/>
        </w:rPr>
      </w:pPr>
      <w:r w:rsidRPr="00B63AC6">
        <w:rPr>
          <w:rFonts w:ascii="Times New Roman" w:eastAsia="Times New Roman" w:hAnsi="Times New Roman" w:cs="Times New Roman"/>
          <w:sz w:val="24"/>
          <w:szCs w:val="24"/>
        </w:rPr>
        <w:t xml:space="preserve">To choose suitable target chondrules for O-isotope analysis we prepared a back-scattered electron (BSE) map of thin section M9324 of </w:t>
      </w:r>
      <w:proofErr w:type="spellStart"/>
      <w:r w:rsidRPr="00B63AC6">
        <w:rPr>
          <w:rFonts w:ascii="Times New Roman" w:eastAsia="Times New Roman" w:hAnsi="Times New Roman" w:cs="Times New Roman"/>
          <w:sz w:val="24"/>
          <w:szCs w:val="24"/>
        </w:rPr>
        <w:t>Acfer</w:t>
      </w:r>
      <w:proofErr w:type="spellEnd"/>
      <w:r w:rsidRPr="00B63AC6">
        <w:rPr>
          <w:rFonts w:ascii="Times New Roman" w:eastAsia="Times New Roman" w:hAnsi="Times New Roman" w:cs="Times New Roman"/>
          <w:sz w:val="24"/>
          <w:szCs w:val="24"/>
        </w:rPr>
        <w:t xml:space="preserve"> 094 from the </w:t>
      </w:r>
      <w:proofErr w:type="spellStart"/>
      <w:r w:rsidRPr="00B63AC6">
        <w:rPr>
          <w:rFonts w:ascii="Times New Roman" w:eastAsia="Times New Roman" w:hAnsi="Times New Roman" w:cs="Times New Roman"/>
          <w:sz w:val="24"/>
          <w:szCs w:val="24"/>
        </w:rPr>
        <w:t>Naturhistorisches</w:t>
      </w:r>
      <w:proofErr w:type="spellEnd"/>
      <w:r w:rsidRPr="00B63AC6">
        <w:rPr>
          <w:rFonts w:ascii="Times New Roman" w:eastAsia="Times New Roman" w:hAnsi="Times New Roman" w:cs="Times New Roman"/>
          <w:sz w:val="24"/>
          <w:szCs w:val="24"/>
        </w:rPr>
        <w:t xml:space="preserve"> Museum in Vienna. We superposed a millimeter grid on this map and labeled the horizontal coordinates with letters and the vertical coordinates with numbers. Each millimeter square was subdivided into 25 0.2-mm squares that were labeled with letters. The top row is labeled a, b, c, d, and e; the last square on the bottom right</w:t>
      </w:r>
    </w:p>
    <w:p w:rsidR="00B63AC6" w:rsidRPr="00B63AC6" w:rsidRDefault="00B63AC6" w:rsidP="00B63AC6">
      <w:pPr>
        <w:spacing w:before="100" w:beforeAutospacing="1" w:after="100" w:afterAutospacing="1" w:line="240" w:lineRule="auto"/>
        <w:outlineLvl w:val="1"/>
        <w:rPr>
          <w:rFonts w:ascii="Times New Roman" w:eastAsia="Times New Roman" w:hAnsi="Times New Roman" w:cs="Times New Roman"/>
          <w:b/>
          <w:bCs/>
          <w:sz w:val="36"/>
          <w:szCs w:val="36"/>
        </w:rPr>
      </w:pPr>
      <w:r w:rsidRPr="00B63AC6">
        <w:rPr>
          <w:rFonts w:ascii="Times New Roman" w:eastAsia="Times New Roman" w:hAnsi="Times New Roman" w:cs="Times New Roman"/>
          <w:b/>
          <w:bCs/>
          <w:sz w:val="36"/>
          <w:szCs w:val="36"/>
        </w:rPr>
        <w:t>Petrographic Studies</w:t>
      </w:r>
    </w:p>
    <w:p w:rsidR="00B63AC6" w:rsidRPr="00B63AC6" w:rsidRDefault="00B63AC6" w:rsidP="00B63AC6">
      <w:pPr>
        <w:spacing w:before="100" w:beforeAutospacing="1" w:after="100" w:afterAutospacing="1" w:line="240" w:lineRule="auto"/>
        <w:rPr>
          <w:rFonts w:ascii="Times New Roman" w:eastAsia="Times New Roman" w:hAnsi="Times New Roman" w:cs="Times New Roman"/>
          <w:sz w:val="24"/>
          <w:szCs w:val="24"/>
        </w:rPr>
      </w:pPr>
      <w:r w:rsidRPr="00B63AC6">
        <w:rPr>
          <w:rFonts w:ascii="Times New Roman" w:eastAsia="Times New Roman" w:hAnsi="Times New Roman" w:cs="Times New Roman"/>
          <w:sz w:val="24"/>
          <w:szCs w:val="24"/>
        </w:rPr>
        <w:t>The chondrules shown in Figure 1 are all type II porphyritic-olivine chondrules dominated by bright angular high-</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phenocrysts. Two or more olivine grains in each chondrule show dark centers that consist of low-</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olivine. As discussed by various authors (e.g., Jones 1992, Wasson and Rubin 2003), these low-</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olivine cores appear to be grain fragments derived from earlier generations of chondrules. The surrounding “host” overgrowths of high-</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olivine grew from melts having much higher</w:t>
      </w:r>
    </w:p>
    <w:p w:rsidR="00B63AC6" w:rsidRPr="00B63AC6" w:rsidRDefault="00B63AC6" w:rsidP="00B63AC6">
      <w:pPr>
        <w:spacing w:before="100" w:beforeAutospacing="1" w:after="100" w:afterAutospacing="1" w:line="240" w:lineRule="auto"/>
        <w:outlineLvl w:val="1"/>
        <w:rPr>
          <w:rFonts w:ascii="Times New Roman" w:eastAsia="Times New Roman" w:hAnsi="Times New Roman" w:cs="Times New Roman"/>
          <w:b/>
          <w:bCs/>
          <w:sz w:val="36"/>
          <w:szCs w:val="36"/>
        </w:rPr>
      </w:pPr>
      <w:r w:rsidRPr="00B63AC6">
        <w:rPr>
          <w:rFonts w:ascii="Times New Roman" w:eastAsia="Times New Roman" w:hAnsi="Times New Roman" w:cs="Times New Roman"/>
          <w:b/>
          <w:bCs/>
          <w:sz w:val="36"/>
          <w:szCs w:val="36"/>
        </w:rPr>
        <w:t xml:space="preserve">The classification of </w:t>
      </w:r>
      <w:proofErr w:type="spellStart"/>
      <w:r w:rsidRPr="00B63AC6">
        <w:rPr>
          <w:rFonts w:ascii="Times New Roman" w:eastAsia="Times New Roman" w:hAnsi="Times New Roman" w:cs="Times New Roman"/>
          <w:b/>
          <w:bCs/>
          <w:sz w:val="36"/>
          <w:szCs w:val="36"/>
        </w:rPr>
        <w:t>Acfer</w:t>
      </w:r>
      <w:proofErr w:type="spellEnd"/>
      <w:r w:rsidRPr="00B63AC6">
        <w:rPr>
          <w:rFonts w:ascii="Times New Roman" w:eastAsia="Times New Roman" w:hAnsi="Times New Roman" w:cs="Times New Roman"/>
          <w:b/>
          <w:bCs/>
          <w:sz w:val="36"/>
          <w:szCs w:val="36"/>
        </w:rPr>
        <w:t xml:space="preserve"> 094</w:t>
      </w:r>
    </w:p>
    <w:p w:rsidR="00B63AC6" w:rsidRPr="00B63AC6" w:rsidRDefault="00B63AC6" w:rsidP="00B63AC6">
      <w:pPr>
        <w:spacing w:before="100" w:beforeAutospacing="1" w:after="100" w:afterAutospacing="1" w:line="240" w:lineRule="auto"/>
        <w:rPr>
          <w:rFonts w:ascii="Times New Roman" w:eastAsia="Times New Roman" w:hAnsi="Times New Roman" w:cs="Times New Roman"/>
          <w:sz w:val="24"/>
          <w:szCs w:val="24"/>
        </w:rPr>
      </w:pPr>
      <w:r w:rsidRPr="00B63AC6">
        <w:rPr>
          <w:rFonts w:ascii="Times New Roman" w:eastAsia="Times New Roman" w:hAnsi="Times New Roman" w:cs="Times New Roman"/>
          <w:sz w:val="24"/>
          <w:szCs w:val="24"/>
        </w:rPr>
        <w:t xml:space="preserve">There is no doubt that the proper petrographic type for </w:t>
      </w:r>
      <w:proofErr w:type="spellStart"/>
      <w:r w:rsidRPr="00B63AC6">
        <w:rPr>
          <w:rFonts w:ascii="Times New Roman" w:eastAsia="Times New Roman" w:hAnsi="Times New Roman" w:cs="Times New Roman"/>
          <w:sz w:val="24"/>
          <w:szCs w:val="24"/>
        </w:rPr>
        <w:t>Acfer</w:t>
      </w:r>
      <w:proofErr w:type="spellEnd"/>
      <w:r w:rsidRPr="00B63AC6">
        <w:rPr>
          <w:rFonts w:ascii="Times New Roman" w:eastAsia="Times New Roman" w:hAnsi="Times New Roman" w:cs="Times New Roman"/>
          <w:sz w:val="24"/>
          <w:szCs w:val="24"/>
        </w:rPr>
        <w:t xml:space="preserve"> 094 is 3.0. This class is reserved for meteorites that show negligible evidence of aqueous alteration (which would, if present, result in a classification of &lt;3) and negligible evidence of thermal alteration (which would, if present, require a classification &gt;3.0). There is some serpentine and ferrihydrite in the matrix of </w:t>
      </w:r>
      <w:proofErr w:type="spellStart"/>
      <w:r w:rsidRPr="00B63AC6">
        <w:rPr>
          <w:rFonts w:ascii="Times New Roman" w:eastAsia="Times New Roman" w:hAnsi="Times New Roman" w:cs="Times New Roman"/>
          <w:sz w:val="24"/>
          <w:szCs w:val="24"/>
        </w:rPr>
        <w:t>Acfer</w:t>
      </w:r>
      <w:proofErr w:type="spellEnd"/>
      <w:r w:rsidRPr="00B63AC6">
        <w:rPr>
          <w:rFonts w:ascii="Times New Roman" w:eastAsia="Times New Roman" w:hAnsi="Times New Roman" w:cs="Times New Roman"/>
          <w:sz w:val="24"/>
          <w:szCs w:val="24"/>
        </w:rPr>
        <w:t xml:space="preserve"> 094 (</w:t>
      </w:r>
      <w:proofErr w:type="spellStart"/>
      <w:r w:rsidRPr="00B63AC6">
        <w:rPr>
          <w:rFonts w:ascii="Times New Roman" w:eastAsia="Times New Roman" w:hAnsi="Times New Roman" w:cs="Times New Roman"/>
          <w:sz w:val="24"/>
          <w:szCs w:val="24"/>
        </w:rPr>
        <w:t>Greshake</w:t>
      </w:r>
      <w:proofErr w:type="spellEnd"/>
      <w:r w:rsidRPr="00B63AC6">
        <w:rPr>
          <w:rFonts w:ascii="Times New Roman" w:eastAsia="Times New Roman" w:hAnsi="Times New Roman" w:cs="Times New Roman"/>
          <w:sz w:val="24"/>
          <w:szCs w:val="24"/>
        </w:rPr>
        <w:t>, 1997) but otherwise only minimal evidence of aqueous alteration. The evidence for minimal</w:t>
      </w:r>
    </w:p>
    <w:p w:rsidR="00B63AC6" w:rsidRPr="00B63AC6" w:rsidRDefault="00B63AC6" w:rsidP="00B63AC6">
      <w:pPr>
        <w:spacing w:before="100" w:beforeAutospacing="1" w:after="100" w:afterAutospacing="1" w:line="240" w:lineRule="auto"/>
        <w:outlineLvl w:val="1"/>
        <w:rPr>
          <w:rFonts w:ascii="Times New Roman" w:eastAsia="Times New Roman" w:hAnsi="Times New Roman" w:cs="Times New Roman"/>
          <w:b/>
          <w:bCs/>
          <w:sz w:val="36"/>
          <w:szCs w:val="36"/>
        </w:rPr>
      </w:pPr>
      <w:r w:rsidRPr="00B63AC6">
        <w:rPr>
          <w:rFonts w:ascii="Times New Roman" w:eastAsia="Times New Roman" w:hAnsi="Times New Roman" w:cs="Times New Roman"/>
          <w:b/>
          <w:bCs/>
          <w:sz w:val="36"/>
          <w:szCs w:val="36"/>
        </w:rPr>
        <w:t>Petrographic Evidence Regarding the Formation of High-</w:t>
      </w:r>
      <w:proofErr w:type="spellStart"/>
      <w:r w:rsidRPr="00B63AC6">
        <w:rPr>
          <w:rFonts w:ascii="Times New Roman" w:eastAsia="Times New Roman" w:hAnsi="Times New Roman" w:cs="Times New Roman"/>
          <w:b/>
          <w:bCs/>
          <w:sz w:val="36"/>
          <w:szCs w:val="36"/>
        </w:rPr>
        <w:t>FeO</w:t>
      </w:r>
      <w:proofErr w:type="spellEnd"/>
      <w:r w:rsidRPr="00B63AC6">
        <w:rPr>
          <w:rFonts w:ascii="Times New Roman" w:eastAsia="Times New Roman" w:hAnsi="Times New Roman" w:cs="Times New Roman"/>
          <w:b/>
          <w:bCs/>
          <w:sz w:val="36"/>
          <w:szCs w:val="36"/>
        </w:rPr>
        <w:t xml:space="preserve"> Chondrules Containing Low-</w:t>
      </w:r>
      <w:proofErr w:type="spellStart"/>
      <w:r w:rsidRPr="00B63AC6">
        <w:rPr>
          <w:rFonts w:ascii="Times New Roman" w:eastAsia="Times New Roman" w:hAnsi="Times New Roman" w:cs="Times New Roman"/>
          <w:b/>
          <w:bCs/>
          <w:sz w:val="36"/>
          <w:szCs w:val="36"/>
        </w:rPr>
        <w:t>FeO</w:t>
      </w:r>
      <w:proofErr w:type="spellEnd"/>
      <w:r w:rsidRPr="00B63AC6">
        <w:rPr>
          <w:rFonts w:ascii="Times New Roman" w:eastAsia="Times New Roman" w:hAnsi="Times New Roman" w:cs="Times New Roman"/>
          <w:b/>
          <w:bCs/>
          <w:sz w:val="36"/>
          <w:szCs w:val="36"/>
        </w:rPr>
        <w:t xml:space="preserve"> Relict Grains</w:t>
      </w:r>
    </w:p>
    <w:p w:rsidR="00B63AC6" w:rsidRPr="00B63AC6" w:rsidRDefault="00B63AC6" w:rsidP="00B63AC6">
      <w:pPr>
        <w:spacing w:before="100" w:beforeAutospacing="1" w:after="100" w:afterAutospacing="1" w:line="240" w:lineRule="auto"/>
        <w:rPr>
          <w:rFonts w:ascii="Times New Roman" w:eastAsia="Times New Roman" w:hAnsi="Times New Roman" w:cs="Times New Roman"/>
          <w:sz w:val="24"/>
          <w:szCs w:val="24"/>
        </w:rPr>
      </w:pPr>
      <w:r w:rsidRPr="00B63AC6">
        <w:rPr>
          <w:rFonts w:ascii="Times New Roman" w:eastAsia="Times New Roman" w:hAnsi="Times New Roman" w:cs="Times New Roman"/>
          <w:sz w:val="24"/>
          <w:szCs w:val="24"/>
        </w:rPr>
        <w:lastRenderedPageBreak/>
        <w:t>Wasson and Rubin (2003) reported that &gt;90% of the high-</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porphyritic-olivine chondrules in CO3.0 Y81020 and ALHA77307 contain low-</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olivine relicts. The high-</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overgrowths on these relicts that are adjacent to patches of </w:t>
      </w:r>
      <w:proofErr w:type="spellStart"/>
      <w:r w:rsidRPr="00B63AC6">
        <w:rPr>
          <w:rFonts w:ascii="Times New Roman" w:eastAsia="Times New Roman" w:hAnsi="Times New Roman" w:cs="Times New Roman"/>
          <w:sz w:val="24"/>
          <w:szCs w:val="24"/>
        </w:rPr>
        <w:t>mesostasis</w:t>
      </w:r>
      <w:proofErr w:type="spellEnd"/>
      <w:r w:rsidRPr="00B63AC6">
        <w:rPr>
          <w:rFonts w:ascii="Times New Roman" w:eastAsia="Times New Roman" w:hAnsi="Times New Roman" w:cs="Times New Roman"/>
          <w:sz w:val="24"/>
          <w:szCs w:val="24"/>
        </w:rPr>
        <w:t xml:space="preserve"> were found to be thin, on the order of 5 </w:t>
      </w:r>
      <w:proofErr w:type="spellStart"/>
      <w:r w:rsidRPr="00B63AC6">
        <w:rPr>
          <w:rFonts w:ascii="Times New Roman" w:eastAsia="Times New Roman" w:hAnsi="Times New Roman" w:cs="Times New Roman"/>
          <w:sz w:val="24"/>
          <w:szCs w:val="24"/>
        </w:rPr>
        <w:t>μm</w:t>
      </w:r>
      <w:proofErr w:type="spellEnd"/>
      <w:r w:rsidRPr="00B63AC6">
        <w:rPr>
          <w:rFonts w:ascii="Times New Roman" w:eastAsia="Times New Roman" w:hAnsi="Times New Roman" w:cs="Times New Roman"/>
          <w:sz w:val="24"/>
          <w:szCs w:val="24"/>
        </w:rPr>
        <w:t>. Although there are some expected effects relating to a tiny mismatch in lattice spacing between low-</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and high-</w:t>
      </w:r>
      <w:proofErr w:type="spellStart"/>
      <w:r w:rsidRPr="00B63AC6">
        <w:rPr>
          <w:rFonts w:ascii="Times New Roman" w:eastAsia="Times New Roman" w:hAnsi="Times New Roman" w:cs="Times New Roman"/>
          <w:sz w:val="24"/>
          <w:szCs w:val="24"/>
        </w:rPr>
        <w:t>FeO</w:t>
      </w:r>
      <w:proofErr w:type="spellEnd"/>
      <w:r w:rsidRPr="00B63AC6">
        <w:rPr>
          <w:rFonts w:ascii="Times New Roman" w:eastAsia="Times New Roman" w:hAnsi="Times New Roman" w:cs="Times New Roman"/>
          <w:sz w:val="24"/>
          <w:szCs w:val="24"/>
        </w:rPr>
        <w:t xml:space="preserve"> </w:t>
      </w:r>
      <w:proofErr w:type="spellStart"/>
      <w:r w:rsidRPr="00B63AC6">
        <w:rPr>
          <w:rFonts w:ascii="Times New Roman" w:eastAsia="Times New Roman" w:hAnsi="Times New Roman" w:cs="Times New Roman"/>
          <w:sz w:val="24"/>
          <w:szCs w:val="24"/>
        </w:rPr>
        <w:t>olivines</w:t>
      </w:r>
      <w:proofErr w:type="spellEnd"/>
      <w:r w:rsidRPr="00B63AC6">
        <w:rPr>
          <w:rFonts w:ascii="Times New Roman" w:eastAsia="Times New Roman" w:hAnsi="Times New Roman" w:cs="Times New Roman"/>
          <w:sz w:val="24"/>
          <w:szCs w:val="24"/>
        </w:rPr>
        <w:t>, Wasson and Rubin (2003) argued that these played only a minor role and that overgrowths</w:t>
      </w:r>
    </w:p>
    <w:p w:rsidR="00B63AC6" w:rsidRPr="00B63AC6" w:rsidRDefault="00B63AC6" w:rsidP="00B63AC6">
      <w:pPr>
        <w:spacing w:before="100" w:beforeAutospacing="1" w:after="100" w:afterAutospacing="1" w:line="240" w:lineRule="auto"/>
        <w:outlineLvl w:val="1"/>
        <w:rPr>
          <w:rFonts w:ascii="Times New Roman" w:eastAsia="Times New Roman" w:hAnsi="Times New Roman" w:cs="Times New Roman"/>
          <w:b/>
          <w:bCs/>
          <w:sz w:val="36"/>
          <w:szCs w:val="36"/>
        </w:rPr>
      </w:pPr>
      <w:r w:rsidRPr="00B63AC6">
        <w:rPr>
          <w:rFonts w:ascii="Times New Roman" w:eastAsia="Times New Roman" w:hAnsi="Times New Roman" w:cs="Times New Roman"/>
          <w:b/>
          <w:bCs/>
          <w:sz w:val="36"/>
          <w:szCs w:val="36"/>
        </w:rPr>
        <w:t>Summary</w:t>
      </w:r>
    </w:p>
    <w:p w:rsidR="00B63AC6" w:rsidRPr="00B63AC6" w:rsidRDefault="00B63AC6" w:rsidP="00B63AC6">
      <w:pPr>
        <w:spacing w:before="100" w:beforeAutospacing="1" w:after="100" w:afterAutospacing="1" w:line="240" w:lineRule="auto"/>
        <w:rPr>
          <w:rFonts w:ascii="Times New Roman" w:eastAsia="Times New Roman" w:hAnsi="Times New Roman" w:cs="Times New Roman"/>
          <w:sz w:val="24"/>
          <w:szCs w:val="24"/>
        </w:rPr>
      </w:pPr>
      <w:r w:rsidRPr="00B63AC6">
        <w:rPr>
          <w:rFonts w:ascii="Times New Roman" w:eastAsia="Times New Roman" w:hAnsi="Times New Roman" w:cs="Times New Roman"/>
          <w:sz w:val="24"/>
          <w:szCs w:val="24"/>
        </w:rPr>
        <w:t xml:space="preserve">We concur with the observations of Newton et al. (1995) and </w:t>
      </w:r>
      <w:proofErr w:type="spellStart"/>
      <w:r w:rsidRPr="00B63AC6">
        <w:rPr>
          <w:rFonts w:ascii="Times New Roman" w:eastAsia="Times New Roman" w:hAnsi="Times New Roman" w:cs="Times New Roman"/>
          <w:sz w:val="24"/>
          <w:szCs w:val="24"/>
        </w:rPr>
        <w:t>Greshake</w:t>
      </w:r>
      <w:proofErr w:type="spellEnd"/>
      <w:r w:rsidRPr="00B63AC6">
        <w:rPr>
          <w:rFonts w:ascii="Times New Roman" w:eastAsia="Times New Roman" w:hAnsi="Times New Roman" w:cs="Times New Roman"/>
          <w:sz w:val="24"/>
          <w:szCs w:val="24"/>
        </w:rPr>
        <w:t xml:space="preserve"> (1997) that </w:t>
      </w:r>
      <w:proofErr w:type="spellStart"/>
      <w:r w:rsidRPr="00B63AC6">
        <w:rPr>
          <w:rFonts w:ascii="Times New Roman" w:eastAsia="Times New Roman" w:hAnsi="Times New Roman" w:cs="Times New Roman"/>
          <w:sz w:val="24"/>
          <w:szCs w:val="24"/>
        </w:rPr>
        <w:t>Acfer</w:t>
      </w:r>
      <w:proofErr w:type="spellEnd"/>
      <w:r w:rsidRPr="00B63AC6">
        <w:rPr>
          <w:rFonts w:ascii="Times New Roman" w:eastAsia="Times New Roman" w:hAnsi="Times New Roman" w:cs="Times New Roman"/>
          <w:sz w:val="24"/>
          <w:szCs w:val="24"/>
        </w:rPr>
        <w:t xml:space="preserve"> 094 shows only minimal evidence of aqueous alteration. Its contents of chondrule glass and </w:t>
      </w:r>
      <w:proofErr w:type="spellStart"/>
      <w:r w:rsidRPr="00B63AC6">
        <w:rPr>
          <w:rFonts w:ascii="Times New Roman" w:eastAsia="Times New Roman" w:hAnsi="Times New Roman" w:cs="Times New Roman"/>
          <w:sz w:val="24"/>
          <w:szCs w:val="24"/>
        </w:rPr>
        <w:t>presolar</w:t>
      </w:r>
      <w:proofErr w:type="spellEnd"/>
      <w:r w:rsidRPr="00B63AC6">
        <w:rPr>
          <w:rFonts w:ascii="Times New Roman" w:eastAsia="Times New Roman" w:hAnsi="Times New Roman" w:cs="Times New Roman"/>
          <w:sz w:val="24"/>
          <w:szCs w:val="24"/>
        </w:rPr>
        <w:t xml:space="preserve"> grains show it to be highly unequilibrated. The near absence of both aqueous alteration and thermal metamorphic effects confirms that </w:t>
      </w:r>
      <w:proofErr w:type="spellStart"/>
      <w:r w:rsidRPr="00B63AC6">
        <w:rPr>
          <w:rFonts w:ascii="Times New Roman" w:eastAsia="Times New Roman" w:hAnsi="Times New Roman" w:cs="Times New Roman"/>
          <w:sz w:val="24"/>
          <w:szCs w:val="24"/>
        </w:rPr>
        <w:t>Acfer</w:t>
      </w:r>
      <w:proofErr w:type="spellEnd"/>
      <w:r w:rsidRPr="00B63AC6">
        <w:rPr>
          <w:rFonts w:ascii="Times New Roman" w:eastAsia="Times New Roman" w:hAnsi="Times New Roman" w:cs="Times New Roman"/>
          <w:sz w:val="24"/>
          <w:szCs w:val="24"/>
        </w:rPr>
        <w:t xml:space="preserve"> 094 is a type 3.0 chondrite. </w:t>
      </w:r>
      <w:proofErr w:type="spellStart"/>
      <w:r w:rsidRPr="00B63AC6">
        <w:rPr>
          <w:rFonts w:ascii="Times New Roman" w:eastAsia="Times New Roman" w:hAnsi="Times New Roman" w:cs="Times New Roman"/>
          <w:sz w:val="24"/>
          <w:szCs w:val="24"/>
        </w:rPr>
        <w:t>Acfer</w:t>
      </w:r>
      <w:proofErr w:type="spellEnd"/>
      <w:r w:rsidRPr="00B63AC6">
        <w:rPr>
          <w:rFonts w:ascii="Times New Roman" w:eastAsia="Times New Roman" w:hAnsi="Times New Roman" w:cs="Times New Roman"/>
          <w:sz w:val="24"/>
          <w:szCs w:val="24"/>
        </w:rPr>
        <w:t xml:space="preserve"> 094 chondrules appear to sample the same population as those in CO and CM chondrites. The high volatile content of </w:t>
      </w:r>
      <w:proofErr w:type="spellStart"/>
      <w:r w:rsidRPr="00B63AC6">
        <w:rPr>
          <w:rFonts w:ascii="Times New Roman" w:eastAsia="Times New Roman" w:hAnsi="Times New Roman" w:cs="Times New Roman"/>
          <w:sz w:val="24"/>
          <w:szCs w:val="24"/>
        </w:rPr>
        <w:t>Acfer</w:t>
      </w:r>
      <w:proofErr w:type="spellEnd"/>
      <w:r w:rsidRPr="00B63AC6">
        <w:rPr>
          <w:rFonts w:ascii="Times New Roman" w:eastAsia="Times New Roman" w:hAnsi="Times New Roman" w:cs="Times New Roman"/>
          <w:sz w:val="24"/>
          <w:szCs w:val="24"/>
        </w:rPr>
        <w:t xml:space="preserve"> 094 suggests</w:t>
      </w:r>
    </w:p>
    <w:p w:rsidR="00B63AC6" w:rsidRPr="00B63AC6" w:rsidRDefault="00B63AC6" w:rsidP="00B63AC6">
      <w:pPr>
        <w:spacing w:before="100" w:beforeAutospacing="1" w:after="100" w:afterAutospacing="1" w:line="240" w:lineRule="auto"/>
        <w:outlineLvl w:val="1"/>
        <w:rPr>
          <w:rFonts w:ascii="Times New Roman" w:eastAsia="Times New Roman" w:hAnsi="Times New Roman" w:cs="Times New Roman"/>
          <w:b/>
          <w:bCs/>
          <w:sz w:val="36"/>
          <w:szCs w:val="36"/>
        </w:rPr>
      </w:pPr>
      <w:r w:rsidRPr="00B63AC6">
        <w:rPr>
          <w:rFonts w:ascii="Times New Roman" w:eastAsia="Times New Roman" w:hAnsi="Times New Roman" w:cs="Times New Roman"/>
          <w:b/>
          <w:bCs/>
          <w:sz w:val="36"/>
          <w:szCs w:val="36"/>
        </w:rPr>
        <w:t>Acknowledgments</w:t>
      </w:r>
    </w:p>
    <w:p w:rsidR="00B63AC6" w:rsidRPr="00B63AC6" w:rsidRDefault="00B63AC6" w:rsidP="00B63AC6">
      <w:pPr>
        <w:spacing w:before="100" w:beforeAutospacing="1" w:after="100" w:afterAutospacing="1" w:line="240" w:lineRule="auto"/>
        <w:rPr>
          <w:rFonts w:ascii="Times New Roman" w:eastAsia="Times New Roman" w:hAnsi="Times New Roman" w:cs="Times New Roman"/>
          <w:sz w:val="24"/>
          <w:szCs w:val="24"/>
        </w:rPr>
      </w:pPr>
      <w:r w:rsidRPr="00B63AC6">
        <w:rPr>
          <w:rFonts w:ascii="Times New Roman" w:eastAsia="Times New Roman" w:hAnsi="Times New Roman" w:cs="Times New Roman"/>
          <w:sz w:val="24"/>
          <w:szCs w:val="24"/>
        </w:rPr>
        <w:t xml:space="preserve">We thank Kevin McKeegan and Ed Young for help, advice, and useful discussions. Andreas Pack and Richard Greenwood provided detailed reviews that led to many improvements in the text. We are grateful to Franz </w:t>
      </w:r>
      <w:proofErr w:type="spellStart"/>
      <w:r w:rsidRPr="00B63AC6">
        <w:rPr>
          <w:rFonts w:ascii="Times New Roman" w:eastAsia="Times New Roman" w:hAnsi="Times New Roman" w:cs="Times New Roman"/>
          <w:sz w:val="24"/>
          <w:szCs w:val="24"/>
        </w:rPr>
        <w:t>Brandstätter</w:t>
      </w:r>
      <w:proofErr w:type="spellEnd"/>
      <w:r w:rsidRPr="00B63AC6">
        <w:rPr>
          <w:rFonts w:ascii="Times New Roman" w:eastAsia="Times New Roman" w:hAnsi="Times New Roman" w:cs="Times New Roman"/>
          <w:sz w:val="24"/>
          <w:szCs w:val="24"/>
        </w:rPr>
        <w:t xml:space="preserve"> for loaning to us the excellent </w:t>
      </w:r>
      <w:proofErr w:type="spellStart"/>
      <w:r w:rsidRPr="00B63AC6">
        <w:rPr>
          <w:rFonts w:ascii="Times New Roman" w:eastAsia="Times New Roman" w:hAnsi="Times New Roman" w:cs="Times New Roman"/>
          <w:sz w:val="24"/>
          <w:szCs w:val="24"/>
        </w:rPr>
        <w:t>Acfer</w:t>
      </w:r>
      <w:proofErr w:type="spellEnd"/>
      <w:r w:rsidRPr="00B63AC6">
        <w:rPr>
          <w:rFonts w:ascii="Times New Roman" w:eastAsia="Times New Roman" w:hAnsi="Times New Roman" w:cs="Times New Roman"/>
          <w:sz w:val="24"/>
          <w:szCs w:val="24"/>
        </w:rPr>
        <w:t xml:space="preserve"> 094 thin section. This research was largely supported by NSF grant EAR-0074076 (JTW); A. R. receives support from NASA grant NAG5-12967. The UCLA ion probe was made possible by a gift from the W. M. Keck Foundation and is mainly supported</w:t>
      </w:r>
    </w:p>
    <w:p w:rsidR="004531FD" w:rsidRDefault="004531FD"/>
    <w:sectPr w:rsidR="004531FD">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3AC6"/>
    <w:rsid w:val="004531FD"/>
    <w:rsid w:val="00B63A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30035E"/>
  <w15:chartTrackingRefBased/>
  <w15:docId w15:val="{61672066-6FC5-4909-BE36-F62F4078D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77344580">
      <w:bodyDiv w:val="1"/>
      <w:marLeft w:val="0"/>
      <w:marRight w:val="0"/>
      <w:marTop w:val="0"/>
      <w:marBottom w:val="0"/>
      <w:divBdr>
        <w:top w:val="none" w:sz="0" w:space="0" w:color="auto"/>
        <w:left w:val="none" w:sz="0" w:space="0" w:color="auto"/>
        <w:bottom w:val="none" w:sz="0" w:space="0" w:color="auto"/>
        <w:right w:val="none" w:sz="0" w:space="0" w:color="auto"/>
      </w:divBdr>
      <w:divsChild>
        <w:div w:id="1473983883">
          <w:marLeft w:val="0"/>
          <w:marRight w:val="0"/>
          <w:marTop w:val="0"/>
          <w:marBottom w:val="0"/>
          <w:divBdr>
            <w:top w:val="none" w:sz="0" w:space="0" w:color="auto"/>
            <w:left w:val="none" w:sz="0" w:space="0" w:color="auto"/>
            <w:bottom w:val="none" w:sz="0" w:space="0" w:color="auto"/>
            <w:right w:val="none" w:sz="0" w:space="0" w:color="auto"/>
          </w:divBdr>
          <w:divsChild>
            <w:div w:id="86853826">
              <w:marLeft w:val="0"/>
              <w:marRight w:val="0"/>
              <w:marTop w:val="0"/>
              <w:marBottom w:val="0"/>
              <w:divBdr>
                <w:top w:val="none" w:sz="0" w:space="0" w:color="auto"/>
                <w:left w:val="none" w:sz="0" w:space="0" w:color="auto"/>
                <w:bottom w:val="none" w:sz="0" w:space="0" w:color="auto"/>
                <w:right w:val="none" w:sz="0" w:space="0" w:color="auto"/>
              </w:divBdr>
              <w:divsChild>
                <w:div w:id="536549174">
                  <w:marLeft w:val="0"/>
                  <w:marRight w:val="0"/>
                  <w:marTop w:val="0"/>
                  <w:marBottom w:val="0"/>
                  <w:divBdr>
                    <w:top w:val="none" w:sz="0" w:space="0" w:color="auto"/>
                    <w:left w:val="none" w:sz="0" w:space="0" w:color="auto"/>
                    <w:bottom w:val="none" w:sz="0" w:space="0" w:color="auto"/>
                    <w:right w:val="none" w:sz="0" w:space="0" w:color="auto"/>
                  </w:divBdr>
                  <w:divsChild>
                    <w:div w:id="657803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71844">
          <w:marLeft w:val="0"/>
          <w:marRight w:val="0"/>
          <w:marTop w:val="0"/>
          <w:marBottom w:val="0"/>
          <w:divBdr>
            <w:top w:val="none" w:sz="0" w:space="0" w:color="auto"/>
            <w:left w:val="none" w:sz="0" w:space="0" w:color="auto"/>
            <w:bottom w:val="none" w:sz="0" w:space="0" w:color="auto"/>
            <w:right w:val="none" w:sz="0" w:space="0" w:color="auto"/>
          </w:divBdr>
          <w:divsChild>
            <w:div w:id="377825396">
              <w:marLeft w:val="0"/>
              <w:marRight w:val="0"/>
              <w:marTop w:val="0"/>
              <w:marBottom w:val="0"/>
              <w:divBdr>
                <w:top w:val="none" w:sz="0" w:space="0" w:color="auto"/>
                <w:left w:val="none" w:sz="0" w:space="0" w:color="auto"/>
                <w:bottom w:val="none" w:sz="0" w:space="0" w:color="auto"/>
                <w:right w:val="none" w:sz="0" w:space="0" w:color="auto"/>
              </w:divBdr>
              <w:divsChild>
                <w:div w:id="1360936598">
                  <w:marLeft w:val="0"/>
                  <w:marRight w:val="0"/>
                  <w:marTop w:val="0"/>
                  <w:marBottom w:val="0"/>
                  <w:divBdr>
                    <w:top w:val="none" w:sz="0" w:space="0" w:color="auto"/>
                    <w:left w:val="none" w:sz="0" w:space="0" w:color="auto"/>
                    <w:bottom w:val="none" w:sz="0" w:space="0" w:color="auto"/>
                    <w:right w:val="none" w:sz="0" w:space="0" w:color="auto"/>
                  </w:divBdr>
                  <w:divsChild>
                    <w:div w:id="880753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6707316">
          <w:marLeft w:val="0"/>
          <w:marRight w:val="0"/>
          <w:marTop w:val="0"/>
          <w:marBottom w:val="0"/>
          <w:divBdr>
            <w:top w:val="none" w:sz="0" w:space="0" w:color="auto"/>
            <w:left w:val="none" w:sz="0" w:space="0" w:color="auto"/>
            <w:bottom w:val="none" w:sz="0" w:space="0" w:color="auto"/>
            <w:right w:val="none" w:sz="0" w:space="0" w:color="auto"/>
          </w:divBdr>
          <w:divsChild>
            <w:div w:id="2022002930">
              <w:marLeft w:val="0"/>
              <w:marRight w:val="0"/>
              <w:marTop w:val="0"/>
              <w:marBottom w:val="0"/>
              <w:divBdr>
                <w:top w:val="none" w:sz="0" w:space="0" w:color="auto"/>
                <w:left w:val="none" w:sz="0" w:space="0" w:color="auto"/>
                <w:bottom w:val="none" w:sz="0" w:space="0" w:color="auto"/>
                <w:right w:val="none" w:sz="0" w:space="0" w:color="auto"/>
              </w:divBdr>
            </w:div>
          </w:divsChild>
        </w:div>
        <w:div w:id="1317758731">
          <w:marLeft w:val="0"/>
          <w:marRight w:val="0"/>
          <w:marTop w:val="0"/>
          <w:marBottom w:val="0"/>
          <w:divBdr>
            <w:top w:val="none" w:sz="0" w:space="0" w:color="auto"/>
            <w:left w:val="none" w:sz="0" w:space="0" w:color="auto"/>
            <w:bottom w:val="none" w:sz="0" w:space="0" w:color="auto"/>
            <w:right w:val="none" w:sz="0" w:space="0" w:color="auto"/>
          </w:divBdr>
          <w:divsChild>
            <w:div w:id="2063863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hydrothermal-alteration"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chondrit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carbonaceous-chondrite" TargetMode="External"/><Relationship Id="rId5" Type="http://schemas.openxmlformats.org/officeDocument/2006/relationships/hyperlink" Target="https://www.sciencedirect.com/topics/earth-and-planetary-sciences/chondrule" TargetMode="External"/><Relationship Id="rId10" Type="http://schemas.openxmlformats.org/officeDocument/2006/relationships/theme" Target="theme/theme1.xml"/><Relationship Id="rId4" Type="http://schemas.openxmlformats.org/officeDocument/2006/relationships/hyperlink" Target="https://doi.org/10.1016/j.gca.2005.01.031"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1208</Words>
  <Characters>6892</Characters>
  <Application>Microsoft Office Word</Application>
  <DocSecurity>0</DocSecurity>
  <Lines>57</Lines>
  <Paragraphs>16</Paragraphs>
  <ScaleCrop>false</ScaleCrop>
  <Company/>
  <LinksUpToDate>false</LinksUpToDate>
  <CharactersWithSpaces>8084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2023-11-18T04:33:00Z</dcterms:created>
  <dcterms:modified xsi:type="dcterms:W3CDTF">2023-11-18T04:34:00Z</dcterms:modified>
</cp:coreProperties>
</file>