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37D16" w:rsidRPr="00B37D16" w:rsidRDefault="00B37D16" w:rsidP="00B37D1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B37D16">
        <w:rPr>
          <w:rFonts w:ascii="Times New Roman" w:eastAsia="Times New Roman" w:hAnsi="Times New Roman" w:cs="Times New Roman"/>
          <w:b/>
          <w:bCs/>
          <w:kern w:val="36"/>
          <w:sz w:val="48"/>
          <w:szCs w:val="48"/>
        </w:rPr>
        <w:t xml:space="preserve">Structures and stabilities of </w:t>
      </w:r>
      <w:proofErr w:type="gramStart"/>
      <w:r w:rsidRPr="00B37D16">
        <w:rPr>
          <w:rFonts w:ascii="Times New Roman" w:eastAsia="Times New Roman" w:hAnsi="Times New Roman" w:cs="Times New Roman"/>
          <w:b/>
          <w:bCs/>
          <w:kern w:val="36"/>
          <w:sz w:val="48"/>
          <w:szCs w:val="48"/>
        </w:rPr>
        <w:t>Cd(</w:t>
      </w:r>
      <w:proofErr w:type="gramEnd"/>
      <w:r w:rsidRPr="00B37D16">
        <w:rPr>
          <w:rFonts w:ascii="Times New Roman" w:eastAsia="Times New Roman" w:hAnsi="Times New Roman" w:cs="Times New Roman"/>
          <w:b/>
          <w:bCs/>
          <w:kern w:val="36"/>
          <w:sz w:val="48"/>
          <w:szCs w:val="48"/>
        </w:rPr>
        <w:t>II) and Cd(II)-phthalate complexes at the goethite/water interface</w:t>
      </w:r>
    </w:p>
    <w:p w:rsidR="00B37D16" w:rsidRPr="00B37D16" w:rsidRDefault="00B37D16" w:rsidP="00B37D16">
      <w:pPr>
        <w:spacing w:after="0"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Author links open overlay panel</w:t>
      </w:r>
    </w:p>
    <w:p w:rsidR="00B37D16" w:rsidRPr="00B37D16" w:rsidRDefault="00B37D16" w:rsidP="00B37D16">
      <w:pPr>
        <w:spacing w:after="0"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 xml:space="preserve">, , </w:t>
      </w:r>
    </w:p>
    <w:p w:rsidR="00B37D16" w:rsidRPr="00B37D16" w:rsidRDefault="00B37D16" w:rsidP="00B37D16">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B37D16">
          <w:rPr>
            <w:rFonts w:ascii="Times New Roman" w:eastAsia="Times New Roman" w:hAnsi="Times New Roman" w:cs="Times New Roman"/>
            <w:color w:val="0000FF"/>
            <w:sz w:val="24"/>
            <w:szCs w:val="24"/>
            <w:u w:val="single"/>
          </w:rPr>
          <w:t>https://doi.org/10.1016/j.gca.2004.12.013</w:t>
        </w:r>
      </w:hyperlink>
      <w:bookmarkStart w:id="0" w:name="_GoBack"/>
      <w:bookmarkEnd w:id="0"/>
      <w:r w:rsidRPr="00B37D16">
        <w:rPr>
          <w:rFonts w:ascii="Times New Roman" w:eastAsia="Times New Roman" w:hAnsi="Times New Roman" w:cs="Times New Roman"/>
          <w:sz w:val="24"/>
          <w:szCs w:val="24"/>
        </w:rPr>
        <w:t xml:space="preserve"> </w:t>
      </w:r>
    </w:p>
    <w:p w:rsidR="00B37D16" w:rsidRPr="00B37D16" w:rsidRDefault="00B37D16" w:rsidP="00B37D16">
      <w:pPr>
        <w:spacing w:before="100" w:beforeAutospacing="1" w:after="100" w:afterAutospacing="1" w:line="240" w:lineRule="auto"/>
        <w:outlineLvl w:val="1"/>
        <w:rPr>
          <w:rFonts w:ascii="Times New Roman" w:eastAsia="Times New Roman" w:hAnsi="Times New Roman" w:cs="Times New Roman"/>
          <w:b/>
          <w:bCs/>
          <w:sz w:val="36"/>
          <w:szCs w:val="36"/>
        </w:rPr>
      </w:pPr>
      <w:r w:rsidRPr="00B37D16">
        <w:rPr>
          <w:rFonts w:ascii="Times New Roman" w:eastAsia="Times New Roman" w:hAnsi="Times New Roman" w:cs="Times New Roman"/>
          <w:b/>
          <w:bCs/>
          <w:sz w:val="36"/>
          <w:szCs w:val="36"/>
        </w:rPr>
        <w:t>Abstract</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 xml:space="preserve">The complexation of Cd(II) and Cd(II)-phthalate at the goethite/water interface were investigated by </w:t>
      </w:r>
      <w:hyperlink r:id="rId5" w:tooltip="Learn more about EXAFS from ScienceDirect's AI-generated Topic Pages" w:history="1">
        <w:r w:rsidRPr="00B37D16">
          <w:rPr>
            <w:rFonts w:ascii="Times New Roman" w:eastAsia="Times New Roman" w:hAnsi="Times New Roman" w:cs="Times New Roman"/>
            <w:color w:val="0000FF"/>
            <w:sz w:val="24"/>
            <w:szCs w:val="24"/>
            <w:u w:val="single"/>
          </w:rPr>
          <w:t>EXAFS</w:t>
        </w:r>
      </w:hyperlink>
      <w:r w:rsidRPr="00B37D16">
        <w:rPr>
          <w:rFonts w:ascii="Times New Roman" w:eastAsia="Times New Roman" w:hAnsi="Times New Roman" w:cs="Times New Roman"/>
          <w:sz w:val="24"/>
          <w:szCs w:val="24"/>
        </w:rPr>
        <w:t xml:space="preserve"> and </w:t>
      </w:r>
      <w:hyperlink r:id="rId6" w:tooltip="Learn more about IR spectroscopy from ScienceDirect's AI-generated Topic Pages" w:history="1">
        <w:r w:rsidRPr="00B37D16">
          <w:rPr>
            <w:rFonts w:ascii="Times New Roman" w:eastAsia="Times New Roman" w:hAnsi="Times New Roman" w:cs="Times New Roman"/>
            <w:color w:val="0000FF"/>
            <w:sz w:val="24"/>
            <w:szCs w:val="24"/>
            <w:u w:val="single"/>
          </w:rPr>
          <w:t>IR spectroscopy</w:t>
        </w:r>
      </w:hyperlink>
      <w:r w:rsidRPr="00B37D16">
        <w:rPr>
          <w:rFonts w:ascii="Times New Roman" w:eastAsia="Times New Roman" w:hAnsi="Times New Roman" w:cs="Times New Roman"/>
          <w:sz w:val="24"/>
          <w:szCs w:val="24"/>
        </w:rPr>
        <w:t xml:space="preserve">, by batch adsorption experiments and by potentiometric titrations at 298.15 K. The EXAFS spectra showed Cd(II) to form only inner-sphere corner-sharing complexes with the </w:t>
      </w:r>
      <w:hyperlink r:id="rId7" w:tooltip="Learn more about goethite from ScienceDirect's AI-generated Topic Pages" w:history="1">
        <w:r w:rsidRPr="00B37D16">
          <w:rPr>
            <w:rFonts w:ascii="Times New Roman" w:eastAsia="Times New Roman" w:hAnsi="Times New Roman" w:cs="Times New Roman"/>
            <w:color w:val="0000FF"/>
            <w:sz w:val="24"/>
            <w:szCs w:val="24"/>
            <w:u w:val="single"/>
          </w:rPr>
          <w:t>goethite</w:t>
        </w:r>
      </w:hyperlink>
      <w:r w:rsidRPr="00B37D16">
        <w:rPr>
          <w:rFonts w:ascii="Times New Roman" w:eastAsia="Times New Roman" w:hAnsi="Times New Roman" w:cs="Times New Roman"/>
          <w:sz w:val="24"/>
          <w:szCs w:val="24"/>
        </w:rPr>
        <w:t xml:space="preserve"> surface sites in the presence and absence of </w:t>
      </w:r>
      <w:hyperlink r:id="rId8" w:tooltip="Learn more about phthalate from ScienceDirect's AI-generated Topic Pages" w:history="1">
        <w:r w:rsidRPr="00B37D16">
          <w:rPr>
            <w:rFonts w:ascii="Times New Roman" w:eastAsia="Times New Roman" w:hAnsi="Times New Roman" w:cs="Times New Roman"/>
            <w:color w:val="0000FF"/>
            <w:sz w:val="24"/>
            <w:szCs w:val="24"/>
            <w:u w:val="single"/>
          </w:rPr>
          <w:t>phthalate</w:t>
        </w:r>
      </w:hyperlink>
      <w:r w:rsidRPr="00B37D16">
        <w:rPr>
          <w:rFonts w:ascii="Times New Roman" w:eastAsia="Times New Roman" w:hAnsi="Times New Roman" w:cs="Times New Roman"/>
          <w:sz w:val="24"/>
          <w:szCs w:val="24"/>
        </w:rPr>
        <w:t xml:space="preserve">. EXAFS spectra also showed the presence of </w:t>
      </w:r>
      <w:proofErr w:type="gramStart"/>
      <w:r w:rsidRPr="00B37D16">
        <w:rPr>
          <w:rFonts w:ascii="Times New Roman" w:eastAsia="Times New Roman" w:hAnsi="Times New Roman" w:cs="Times New Roman"/>
          <w:sz w:val="24"/>
          <w:szCs w:val="24"/>
        </w:rPr>
        <w:t>Cd(</w:t>
      </w:r>
      <w:proofErr w:type="gramEnd"/>
      <w:r w:rsidRPr="00B37D16">
        <w:rPr>
          <w:rFonts w:ascii="Times New Roman" w:eastAsia="Times New Roman" w:hAnsi="Times New Roman" w:cs="Times New Roman"/>
          <w:sz w:val="24"/>
          <w:szCs w:val="24"/>
        </w:rPr>
        <w:t xml:space="preserve">II)-chloride complexes in 0.1 mol/L NaCl. </w:t>
      </w:r>
      <w:hyperlink r:id="rId9" w:tooltip="Learn more about IR spectra from ScienceDirect's AI-generated Topic Pages" w:history="1">
        <w:r w:rsidRPr="00B37D16">
          <w:rPr>
            <w:rFonts w:ascii="Times New Roman" w:eastAsia="Times New Roman" w:hAnsi="Times New Roman" w:cs="Times New Roman"/>
            <w:color w:val="0000FF"/>
            <w:sz w:val="24"/>
            <w:szCs w:val="24"/>
            <w:u w:val="single"/>
          </w:rPr>
          <w:t>IR spectra</w:t>
        </w:r>
      </w:hyperlink>
      <w:r w:rsidRPr="00B37D16">
        <w:rPr>
          <w:rFonts w:ascii="Times New Roman" w:eastAsia="Times New Roman" w:hAnsi="Times New Roman" w:cs="Times New Roman"/>
          <w:sz w:val="24"/>
          <w:szCs w:val="24"/>
        </w:rPr>
        <w:t xml:space="preserve"> also showed phthalate to form (1) an inner-sphere complex with adsorbed corner-sharing Cd(II) surface complexes in the pH 3.5 to 9.5 and (2) an outer-sphere complex with the same type of corner-sharing Cd(II) complex however at pH &gt; 6, in addition to the inner- and outer-sphere complexes of phthalate reported in a previous study. The potentiometric titration and the batch adsorption data were used to constrain the formation constants of the different </w:t>
      </w:r>
      <w:proofErr w:type="gramStart"/>
      <w:r w:rsidRPr="00B37D16">
        <w:rPr>
          <w:rFonts w:ascii="Times New Roman" w:eastAsia="Times New Roman" w:hAnsi="Times New Roman" w:cs="Times New Roman"/>
          <w:sz w:val="24"/>
          <w:szCs w:val="24"/>
        </w:rPr>
        <w:t>Cd(</w:t>
      </w:r>
      <w:proofErr w:type="gramEnd"/>
      <w:r w:rsidRPr="00B37D16">
        <w:rPr>
          <w:rFonts w:ascii="Times New Roman" w:eastAsia="Times New Roman" w:hAnsi="Times New Roman" w:cs="Times New Roman"/>
          <w:sz w:val="24"/>
          <w:szCs w:val="24"/>
        </w:rPr>
        <w:t xml:space="preserve">II)-phthalate surface complexes on the dominant {110} and the {001} planes of the goethite. The models were carried out with the Charge Distribution Multisite Complexation model coupled to the Three Plane Model and can predict the molecular-scale speciation of cadmium and phthalate in the presence of goethite. </w:t>
      </w:r>
      <w:proofErr w:type="gramStart"/>
      <w:r w:rsidRPr="00B37D16">
        <w:rPr>
          <w:rFonts w:ascii="Times New Roman" w:eastAsia="Times New Roman" w:hAnsi="Times New Roman" w:cs="Times New Roman"/>
          <w:sz w:val="24"/>
          <w:szCs w:val="24"/>
        </w:rPr>
        <w:t>Cd(</w:t>
      </w:r>
      <w:proofErr w:type="gramEnd"/>
      <w:r w:rsidRPr="00B37D16">
        <w:rPr>
          <w:rFonts w:ascii="Times New Roman" w:eastAsia="Times New Roman" w:hAnsi="Times New Roman" w:cs="Times New Roman"/>
          <w:sz w:val="24"/>
          <w:szCs w:val="24"/>
        </w:rPr>
        <w:t>II) adsorption models calibrated on a 90 m</w:t>
      </w:r>
      <w:r w:rsidRPr="00B37D16">
        <w:rPr>
          <w:rFonts w:ascii="Times New Roman" w:eastAsia="Times New Roman" w:hAnsi="Times New Roman" w:cs="Times New Roman"/>
          <w:sz w:val="24"/>
          <w:szCs w:val="24"/>
          <w:vertAlign w:val="superscript"/>
        </w:rPr>
        <w:t>2</w:t>
      </w:r>
      <w:r w:rsidRPr="00B37D16">
        <w:rPr>
          <w:rFonts w:ascii="Times New Roman" w:eastAsia="Times New Roman" w:hAnsi="Times New Roman" w:cs="Times New Roman"/>
          <w:sz w:val="24"/>
          <w:szCs w:val="24"/>
        </w:rPr>
        <w:t>/g goethite also could accurately predict experimental data for a 37 m</w:t>
      </w:r>
      <w:r w:rsidRPr="00B37D16">
        <w:rPr>
          <w:rFonts w:ascii="Times New Roman" w:eastAsia="Times New Roman" w:hAnsi="Times New Roman" w:cs="Times New Roman"/>
          <w:sz w:val="24"/>
          <w:szCs w:val="24"/>
          <w:vertAlign w:val="superscript"/>
        </w:rPr>
        <w:t>2</w:t>
      </w:r>
      <w:r w:rsidRPr="00B37D16">
        <w:rPr>
          <w:rFonts w:ascii="Times New Roman" w:eastAsia="Times New Roman" w:hAnsi="Times New Roman" w:cs="Times New Roman"/>
          <w:sz w:val="24"/>
          <w:szCs w:val="24"/>
        </w:rPr>
        <w:t>/g goethite of slightly different basic charging properties.</w:t>
      </w:r>
    </w:p>
    <w:p w:rsidR="00B37D16" w:rsidRPr="00B37D16" w:rsidRDefault="00B37D16" w:rsidP="00B37D16">
      <w:pPr>
        <w:spacing w:before="100" w:beforeAutospacing="1" w:after="100" w:afterAutospacing="1" w:line="240" w:lineRule="auto"/>
        <w:outlineLvl w:val="1"/>
        <w:rPr>
          <w:rFonts w:ascii="Times New Roman" w:eastAsia="Times New Roman" w:hAnsi="Times New Roman" w:cs="Times New Roman"/>
          <w:b/>
          <w:bCs/>
          <w:sz w:val="36"/>
          <w:szCs w:val="36"/>
        </w:rPr>
      </w:pPr>
      <w:r w:rsidRPr="00B37D16">
        <w:rPr>
          <w:rFonts w:ascii="Times New Roman" w:eastAsia="Times New Roman" w:hAnsi="Times New Roman" w:cs="Times New Roman"/>
          <w:b/>
          <w:bCs/>
          <w:sz w:val="36"/>
          <w:szCs w:val="36"/>
        </w:rPr>
        <w:t>Introduction</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Interactions between dissolved metal ions and organic anions in aqueous solutions and at mineral surfaces can have a major impact on mass transport in water/rock systems. The fate of metal ions in these systems can in fact be controlled by the relative stabilities of aqueous and mineral surface species. Knowledge of the structures and thermodynamic stabilities of these species is therefore essential in understanding the mechanisms controlling mass transport in Earth’s subsurface.</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 xml:space="preserve">The thermodynamic stabilities of aqueous metal-organic complexes can be routinely quantified with a wide range of experimental approaches as long as the subsystem models are accurate. Interpretations in systems containing larger numbers of components can however be misled even with most accurate sets of subsystem models and yield different sets of equally-fitting species combinations. Qualitative and even quantitative spectroscopic analyses can then become essential in identifying the correct speciation scheme (e.g., </w:t>
      </w:r>
      <w:proofErr w:type="spellStart"/>
      <w:r w:rsidRPr="00B37D16">
        <w:rPr>
          <w:rFonts w:ascii="Times New Roman" w:eastAsia="Times New Roman" w:hAnsi="Times New Roman" w:cs="Times New Roman"/>
          <w:sz w:val="24"/>
          <w:szCs w:val="24"/>
        </w:rPr>
        <w:t>Pettersson</w:t>
      </w:r>
      <w:proofErr w:type="spellEnd"/>
      <w:r w:rsidRPr="00B37D16">
        <w:rPr>
          <w:rFonts w:ascii="Times New Roman" w:eastAsia="Times New Roman" w:hAnsi="Times New Roman" w:cs="Times New Roman"/>
          <w:sz w:val="24"/>
          <w:szCs w:val="24"/>
        </w:rPr>
        <w:t xml:space="preserve"> et al., 2003). Studies on heterogeneous mineral surface-water systems also face such problems, however, in systems containing as little as two components (H</w:t>
      </w:r>
      <w:r w:rsidRPr="00B37D16">
        <w:rPr>
          <w:rFonts w:ascii="Times New Roman" w:eastAsia="Times New Roman" w:hAnsi="Times New Roman" w:cs="Times New Roman"/>
          <w:sz w:val="24"/>
          <w:szCs w:val="24"/>
          <w:vertAlign w:val="subscript"/>
        </w:rPr>
        <w:t>2</w:t>
      </w:r>
      <w:r w:rsidRPr="00B37D16">
        <w:rPr>
          <w:rFonts w:ascii="Times New Roman" w:eastAsia="Times New Roman" w:hAnsi="Times New Roman" w:cs="Times New Roman"/>
          <w:sz w:val="24"/>
          <w:szCs w:val="24"/>
        </w:rPr>
        <w:t xml:space="preserve">O and mineral surface), a result stemming from a poor understanding of the reactive moieties present on mineral surfaces. Models describing metal and organic ion adsorption on mineral surfaces are thereby prone to even greater uncertainties unless rigorously substantiated with spectroscopic data. Many precautions should therefore be undertaken in the calibration of </w:t>
      </w:r>
      <w:r w:rsidRPr="00B37D16">
        <w:rPr>
          <w:rFonts w:ascii="Times New Roman" w:eastAsia="Times New Roman" w:hAnsi="Times New Roman" w:cs="Times New Roman"/>
          <w:sz w:val="24"/>
          <w:szCs w:val="24"/>
        </w:rPr>
        <w:lastRenderedPageBreak/>
        <w:t xml:space="preserve">adsorption models in the even more complex mixed metal-organic-mineral surface systems. A large number of adsorption modelling studies on these systems have previously justified the formation of metal-organic surface complexes solely on the basis of the inability of subsystems models to account for analytical adsorption data in mixed metal-organic systems (e.g., Davis and Leckie 1978, </w:t>
      </w:r>
      <w:proofErr w:type="spellStart"/>
      <w:r w:rsidRPr="00B37D16">
        <w:rPr>
          <w:rFonts w:ascii="Times New Roman" w:eastAsia="Times New Roman" w:hAnsi="Times New Roman" w:cs="Times New Roman"/>
          <w:sz w:val="24"/>
          <w:szCs w:val="24"/>
        </w:rPr>
        <w:t>Lövgren</w:t>
      </w:r>
      <w:proofErr w:type="spellEnd"/>
      <w:r w:rsidRPr="00B37D16">
        <w:rPr>
          <w:rFonts w:ascii="Times New Roman" w:eastAsia="Times New Roman" w:hAnsi="Times New Roman" w:cs="Times New Roman"/>
          <w:sz w:val="24"/>
          <w:szCs w:val="24"/>
        </w:rPr>
        <w:t xml:space="preserve"> 1991, Ali and </w:t>
      </w:r>
      <w:proofErr w:type="spellStart"/>
      <w:r w:rsidRPr="00B37D16">
        <w:rPr>
          <w:rFonts w:ascii="Times New Roman" w:eastAsia="Times New Roman" w:hAnsi="Times New Roman" w:cs="Times New Roman"/>
          <w:sz w:val="24"/>
          <w:szCs w:val="24"/>
        </w:rPr>
        <w:t>Dzombak</w:t>
      </w:r>
      <w:proofErr w:type="spellEnd"/>
      <w:r w:rsidRPr="00B37D16">
        <w:rPr>
          <w:rFonts w:ascii="Times New Roman" w:eastAsia="Times New Roman" w:hAnsi="Times New Roman" w:cs="Times New Roman"/>
          <w:sz w:val="24"/>
          <w:szCs w:val="24"/>
        </w:rPr>
        <w:t xml:space="preserve"> 1996, </w:t>
      </w:r>
      <w:proofErr w:type="spellStart"/>
      <w:r w:rsidRPr="00B37D16">
        <w:rPr>
          <w:rFonts w:ascii="Times New Roman" w:eastAsia="Times New Roman" w:hAnsi="Times New Roman" w:cs="Times New Roman"/>
          <w:sz w:val="24"/>
          <w:szCs w:val="24"/>
        </w:rPr>
        <w:t>Nowack</w:t>
      </w:r>
      <w:proofErr w:type="spellEnd"/>
      <w:r w:rsidRPr="00B37D16">
        <w:rPr>
          <w:rFonts w:ascii="Times New Roman" w:eastAsia="Times New Roman" w:hAnsi="Times New Roman" w:cs="Times New Roman"/>
          <w:sz w:val="24"/>
          <w:szCs w:val="24"/>
        </w:rPr>
        <w:t xml:space="preserve"> and </w:t>
      </w:r>
      <w:proofErr w:type="spellStart"/>
      <w:r w:rsidRPr="00B37D16">
        <w:rPr>
          <w:rFonts w:ascii="Times New Roman" w:eastAsia="Times New Roman" w:hAnsi="Times New Roman" w:cs="Times New Roman"/>
          <w:sz w:val="24"/>
          <w:szCs w:val="24"/>
        </w:rPr>
        <w:t>Sigg</w:t>
      </w:r>
      <w:proofErr w:type="spellEnd"/>
      <w:r w:rsidRPr="00B37D16">
        <w:rPr>
          <w:rFonts w:ascii="Times New Roman" w:eastAsia="Times New Roman" w:hAnsi="Times New Roman" w:cs="Times New Roman"/>
          <w:sz w:val="24"/>
          <w:szCs w:val="24"/>
        </w:rPr>
        <w:t xml:space="preserve"> 1996, </w:t>
      </w:r>
      <w:proofErr w:type="spellStart"/>
      <w:r w:rsidRPr="00B37D16">
        <w:rPr>
          <w:rFonts w:ascii="Times New Roman" w:eastAsia="Times New Roman" w:hAnsi="Times New Roman" w:cs="Times New Roman"/>
          <w:sz w:val="24"/>
          <w:szCs w:val="24"/>
        </w:rPr>
        <w:t>Boily</w:t>
      </w:r>
      <w:proofErr w:type="spellEnd"/>
      <w:r w:rsidRPr="00B37D16">
        <w:rPr>
          <w:rFonts w:ascii="Times New Roman" w:eastAsia="Times New Roman" w:hAnsi="Times New Roman" w:cs="Times New Roman"/>
          <w:sz w:val="24"/>
          <w:szCs w:val="24"/>
        </w:rPr>
        <w:t xml:space="preserve"> and Fein 1996, </w:t>
      </w:r>
      <w:proofErr w:type="spellStart"/>
      <w:r w:rsidRPr="00B37D16">
        <w:rPr>
          <w:rFonts w:ascii="Times New Roman" w:eastAsia="Times New Roman" w:hAnsi="Times New Roman" w:cs="Times New Roman"/>
          <w:sz w:val="24"/>
          <w:szCs w:val="24"/>
        </w:rPr>
        <w:t>Boily</w:t>
      </w:r>
      <w:proofErr w:type="spellEnd"/>
      <w:r w:rsidRPr="00B37D16">
        <w:rPr>
          <w:rFonts w:ascii="Times New Roman" w:eastAsia="Times New Roman" w:hAnsi="Times New Roman" w:cs="Times New Roman"/>
          <w:sz w:val="24"/>
          <w:szCs w:val="24"/>
        </w:rPr>
        <w:t xml:space="preserve"> and Fein 1998, Angove et al 1999b). Many of these studies have also in a large part regarded metal-organic surface complexation to be solely of type B (mineral surface-organic-metal) (cf. Fein, 2002). While the approach undertaken in these studies is intuitively correct the accumulation of uncertainties resulting from the simultaneous use of various subsystem models should ideally call for additional experiments to provide a greater challenge to the models.</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 xml:space="preserve">Recent spectroscopic studies have identified several different mechanisms of metal-organic co-adsorption in systems that were previously interpreted as Type B complexes. For instance the strong aqueous </w:t>
      </w:r>
      <w:proofErr w:type="gramStart"/>
      <w:r w:rsidRPr="00B37D16">
        <w:rPr>
          <w:rFonts w:ascii="Times New Roman" w:eastAsia="Times New Roman" w:hAnsi="Times New Roman" w:cs="Times New Roman"/>
          <w:sz w:val="24"/>
          <w:szCs w:val="24"/>
        </w:rPr>
        <w:t>Pb(</w:t>
      </w:r>
      <w:proofErr w:type="gramEnd"/>
      <w:r w:rsidRPr="00B37D16">
        <w:rPr>
          <w:rFonts w:ascii="Times New Roman" w:eastAsia="Times New Roman" w:hAnsi="Times New Roman" w:cs="Times New Roman"/>
          <w:sz w:val="24"/>
          <w:szCs w:val="24"/>
        </w:rPr>
        <w:t>II)-EDTA and Cd(II)-citrate complexes have been shown to adsorb in outer sphere complexation with mineral surfaces (</w:t>
      </w:r>
      <w:proofErr w:type="spellStart"/>
      <w:r w:rsidRPr="00B37D16">
        <w:rPr>
          <w:rFonts w:ascii="Times New Roman" w:eastAsia="Times New Roman" w:hAnsi="Times New Roman" w:cs="Times New Roman"/>
          <w:sz w:val="24"/>
          <w:szCs w:val="24"/>
        </w:rPr>
        <w:t>Bargar</w:t>
      </w:r>
      <w:proofErr w:type="spellEnd"/>
      <w:r w:rsidRPr="00B37D16">
        <w:rPr>
          <w:rFonts w:ascii="Times New Roman" w:eastAsia="Times New Roman" w:hAnsi="Times New Roman" w:cs="Times New Roman"/>
          <w:sz w:val="24"/>
          <w:szCs w:val="24"/>
        </w:rPr>
        <w:t xml:space="preserve"> et al 1999, </w:t>
      </w:r>
      <w:proofErr w:type="spellStart"/>
      <w:r w:rsidRPr="00B37D16">
        <w:rPr>
          <w:rFonts w:ascii="Times New Roman" w:eastAsia="Times New Roman" w:hAnsi="Times New Roman" w:cs="Times New Roman"/>
          <w:sz w:val="24"/>
          <w:szCs w:val="24"/>
        </w:rPr>
        <w:t>Lackovic</w:t>
      </w:r>
      <w:proofErr w:type="spellEnd"/>
      <w:r w:rsidRPr="00B37D16">
        <w:rPr>
          <w:rFonts w:ascii="Times New Roman" w:eastAsia="Times New Roman" w:hAnsi="Times New Roman" w:cs="Times New Roman"/>
          <w:sz w:val="24"/>
          <w:szCs w:val="24"/>
        </w:rPr>
        <w:t xml:space="preserve"> et al 2004), although surface complexation studies had previously proposed Type B complexes (</w:t>
      </w:r>
      <w:proofErr w:type="spellStart"/>
      <w:r w:rsidRPr="00B37D16">
        <w:rPr>
          <w:rFonts w:ascii="Times New Roman" w:eastAsia="Times New Roman" w:hAnsi="Times New Roman" w:cs="Times New Roman"/>
          <w:sz w:val="24"/>
          <w:szCs w:val="24"/>
        </w:rPr>
        <w:t>Boily</w:t>
      </w:r>
      <w:proofErr w:type="spellEnd"/>
      <w:r w:rsidRPr="00B37D16">
        <w:rPr>
          <w:rFonts w:ascii="Times New Roman" w:eastAsia="Times New Roman" w:hAnsi="Times New Roman" w:cs="Times New Roman"/>
          <w:sz w:val="24"/>
          <w:szCs w:val="24"/>
        </w:rPr>
        <w:t xml:space="preserve"> and Fein 1996, </w:t>
      </w:r>
      <w:proofErr w:type="spellStart"/>
      <w:r w:rsidRPr="00B37D16">
        <w:rPr>
          <w:rFonts w:ascii="Times New Roman" w:eastAsia="Times New Roman" w:hAnsi="Times New Roman" w:cs="Times New Roman"/>
          <w:sz w:val="24"/>
          <w:szCs w:val="24"/>
        </w:rPr>
        <w:t>Nowack</w:t>
      </w:r>
      <w:proofErr w:type="spellEnd"/>
      <w:r w:rsidRPr="00B37D16">
        <w:rPr>
          <w:rFonts w:ascii="Times New Roman" w:eastAsia="Times New Roman" w:hAnsi="Times New Roman" w:cs="Times New Roman"/>
          <w:sz w:val="24"/>
          <w:szCs w:val="24"/>
        </w:rPr>
        <w:t xml:space="preserve"> and </w:t>
      </w:r>
      <w:proofErr w:type="spellStart"/>
      <w:r w:rsidRPr="00B37D16">
        <w:rPr>
          <w:rFonts w:ascii="Times New Roman" w:eastAsia="Times New Roman" w:hAnsi="Times New Roman" w:cs="Times New Roman"/>
          <w:sz w:val="24"/>
          <w:szCs w:val="24"/>
        </w:rPr>
        <w:t>Sigg</w:t>
      </w:r>
      <w:proofErr w:type="spellEnd"/>
      <w:r w:rsidRPr="00B37D16">
        <w:rPr>
          <w:rFonts w:ascii="Times New Roman" w:eastAsia="Times New Roman" w:hAnsi="Times New Roman" w:cs="Times New Roman"/>
          <w:sz w:val="24"/>
          <w:szCs w:val="24"/>
        </w:rPr>
        <w:t xml:space="preserve"> 1996). </w:t>
      </w:r>
      <w:proofErr w:type="gramStart"/>
      <w:r w:rsidRPr="00B37D16">
        <w:rPr>
          <w:rFonts w:ascii="Times New Roman" w:eastAsia="Times New Roman" w:hAnsi="Times New Roman" w:cs="Times New Roman"/>
          <w:sz w:val="24"/>
          <w:szCs w:val="24"/>
        </w:rPr>
        <w:t>Pb(</w:t>
      </w:r>
      <w:proofErr w:type="gramEnd"/>
      <w:r w:rsidRPr="00B37D16">
        <w:rPr>
          <w:rFonts w:ascii="Times New Roman" w:eastAsia="Times New Roman" w:hAnsi="Times New Roman" w:cs="Times New Roman"/>
          <w:sz w:val="24"/>
          <w:szCs w:val="24"/>
        </w:rPr>
        <w:t xml:space="preserve">II)-malonate was on the other hand shown to adsorb as a Type A (mineral surface-metal-organic) complex on hematite (Lenhart et al., 2001). Other ternary surface complexes were also shown to be of both Type B and A, such as in the cases of </w:t>
      </w:r>
      <w:proofErr w:type="gramStart"/>
      <w:r w:rsidRPr="00B37D16">
        <w:rPr>
          <w:rFonts w:ascii="Times New Roman" w:eastAsia="Times New Roman" w:hAnsi="Times New Roman" w:cs="Times New Roman"/>
          <w:sz w:val="24"/>
          <w:szCs w:val="24"/>
        </w:rPr>
        <w:t>Cu(</w:t>
      </w:r>
      <w:proofErr w:type="gramEnd"/>
      <w:r w:rsidRPr="00B37D16">
        <w:rPr>
          <w:rFonts w:ascii="Times New Roman" w:eastAsia="Times New Roman" w:hAnsi="Times New Roman" w:cs="Times New Roman"/>
          <w:sz w:val="24"/>
          <w:szCs w:val="24"/>
        </w:rPr>
        <w:t>II)-glyphosate (</w:t>
      </w:r>
      <w:proofErr w:type="spellStart"/>
      <w:r w:rsidRPr="00B37D16">
        <w:rPr>
          <w:rFonts w:ascii="Times New Roman" w:eastAsia="Times New Roman" w:hAnsi="Times New Roman" w:cs="Times New Roman"/>
          <w:sz w:val="24"/>
          <w:szCs w:val="24"/>
        </w:rPr>
        <w:t>Sheals</w:t>
      </w:r>
      <w:proofErr w:type="spellEnd"/>
      <w:r w:rsidRPr="00B37D16">
        <w:rPr>
          <w:rFonts w:ascii="Times New Roman" w:eastAsia="Times New Roman" w:hAnsi="Times New Roman" w:cs="Times New Roman"/>
          <w:sz w:val="24"/>
          <w:szCs w:val="24"/>
        </w:rPr>
        <w:t xml:space="preserve"> 2002, </w:t>
      </w:r>
      <w:proofErr w:type="spellStart"/>
      <w:r w:rsidRPr="00B37D16">
        <w:rPr>
          <w:rFonts w:ascii="Times New Roman" w:eastAsia="Times New Roman" w:hAnsi="Times New Roman" w:cs="Times New Roman"/>
          <w:sz w:val="24"/>
          <w:szCs w:val="24"/>
        </w:rPr>
        <w:t>Sheals</w:t>
      </w:r>
      <w:proofErr w:type="spellEnd"/>
      <w:r w:rsidRPr="00B37D16">
        <w:rPr>
          <w:rFonts w:ascii="Times New Roman" w:eastAsia="Times New Roman" w:hAnsi="Times New Roman" w:cs="Times New Roman"/>
          <w:sz w:val="24"/>
          <w:szCs w:val="24"/>
        </w:rPr>
        <w:t xml:space="preserve"> et al 2003) and Cu(II)-glutamate (Fitts et al., 1999). On the other hand metal-organic co-adsorption was also shown to proceed without the formation of a ternary surface complexes, such as in the case of </w:t>
      </w:r>
      <w:proofErr w:type="gramStart"/>
      <w:r w:rsidRPr="00B37D16">
        <w:rPr>
          <w:rFonts w:ascii="Times New Roman" w:eastAsia="Times New Roman" w:hAnsi="Times New Roman" w:cs="Times New Roman"/>
          <w:sz w:val="24"/>
          <w:szCs w:val="24"/>
        </w:rPr>
        <w:t>Cd(</w:t>
      </w:r>
      <w:proofErr w:type="gramEnd"/>
      <w:r w:rsidRPr="00B37D16">
        <w:rPr>
          <w:rFonts w:ascii="Times New Roman" w:eastAsia="Times New Roman" w:hAnsi="Times New Roman" w:cs="Times New Roman"/>
          <w:sz w:val="24"/>
          <w:szCs w:val="24"/>
        </w:rPr>
        <w:t xml:space="preserve">II)-phosphate (Collins et al., 1999) on goethite. In this case excess positive and negative charges are mutually </w:t>
      </w:r>
      <w:proofErr w:type="spellStart"/>
      <w:r w:rsidRPr="00B37D16">
        <w:rPr>
          <w:rFonts w:ascii="Times New Roman" w:eastAsia="Times New Roman" w:hAnsi="Times New Roman" w:cs="Times New Roman"/>
          <w:sz w:val="24"/>
          <w:szCs w:val="24"/>
        </w:rPr>
        <w:t>neutralised</w:t>
      </w:r>
      <w:proofErr w:type="spellEnd"/>
      <w:r w:rsidRPr="00B37D16">
        <w:rPr>
          <w:rFonts w:ascii="Times New Roman" w:eastAsia="Times New Roman" w:hAnsi="Times New Roman" w:cs="Times New Roman"/>
          <w:sz w:val="24"/>
          <w:szCs w:val="24"/>
        </w:rPr>
        <w:t xml:space="preserve"> by the simultaneous adsorption of cations and anions on different surface sites. Considering the range of possible complexation mechanisms, viable surface complexation models should contain such molecular level information to improve their predictive capabilities and to push the limits of surface complexation studies to multicomponent systems of greater complexity.</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 xml:space="preserve">In this study, we present results of potentiometric titrations, batch adsorption experiments, infrared (IR) spectroscopy, extended X-ray absorption fine structure (EXAFS) spectroscopy and surface complexation modelling to investigate the structures and stabilities of </w:t>
      </w:r>
      <w:proofErr w:type="gramStart"/>
      <w:r w:rsidRPr="00B37D16">
        <w:rPr>
          <w:rFonts w:ascii="Times New Roman" w:eastAsia="Times New Roman" w:hAnsi="Times New Roman" w:cs="Times New Roman"/>
          <w:sz w:val="24"/>
          <w:szCs w:val="24"/>
        </w:rPr>
        <w:t>Cd(</w:t>
      </w:r>
      <w:proofErr w:type="gramEnd"/>
      <w:r w:rsidRPr="00B37D16">
        <w:rPr>
          <w:rFonts w:ascii="Times New Roman" w:eastAsia="Times New Roman" w:hAnsi="Times New Roman" w:cs="Times New Roman"/>
          <w:sz w:val="24"/>
          <w:szCs w:val="24"/>
        </w:rPr>
        <w:t>II) and Cd(II)-phthalate surface complexes on well-</w:t>
      </w:r>
      <w:proofErr w:type="spellStart"/>
      <w:r w:rsidRPr="00B37D16">
        <w:rPr>
          <w:rFonts w:ascii="Times New Roman" w:eastAsia="Times New Roman" w:hAnsi="Times New Roman" w:cs="Times New Roman"/>
          <w:sz w:val="24"/>
          <w:szCs w:val="24"/>
        </w:rPr>
        <w:t>crystallised</w:t>
      </w:r>
      <w:proofErr w:type="spellEnd"/>
      <w:r w:rsidRPr="00B37D16">
        <w:rPr>
          <w:rFonts w:ascii="Times New Roman" w:eastAsia="Times New Roman" w:hAnsi="Times New Roman" w:cs="Times New Roman"/>
          <w:sz w:val="24"/>
          <w:szCs w:val="24"/>
        </w:rPr>
        <w:t xml:space="preserve"> goethite particles. This study is in part motivated by the conflicting mechanisms proposed for metal-phthalate co-adsorption where both type A (</w:t>
      </w:r>
      <w:proofErr w:type="spellStart"/>
      <w:r w:rsidRPr="00B37D16">
        <w:rPr>
          <w:rFonts w:ascii="Times New Roman" w:eastAsia="Times New Roman" w:hAnsi="Times New Roman" w:cs="Times New Roman"/>
          <w:sz w:val="24"/>
          <w:szCs w:val="24"/>
        </w:rPr>
        <w:t>Lövgren</w:t>
      </w:r>
      <w:proofErr w:type="spellEnd"/>
      <w:r w:rsidRPr="00B37D16">
        <w:rPr>
          <w:rFonts w:ascii="Times New Roman" w:eastAsia="Times New Roman" w:hAnsi="Times New Roman" w:cs="Times New Roman"/>
          <w:sz w:val="24"/>
          <w:szCs w:val="24"/>
        </w:rPr>
        <w:t xml:space="preserve"> 1991, </w:t>
      </w:r>
      <w:proofErr w:type="spellStart"/>
      <w:r w:rsidRPr="00B37D16">
        <w:rPr>
          <w:rFonts w:ascii="Times New Roman" w:eastAsia="Times New Roman" w:hAnsi="Times New Roman" w:cs="Times New Roman"/>
          <w:sz w:val="24"/>
          <w:szCs w:val="24"/>
        </w:rPr>
        <w:t>Boily</w:t>
      </w:r>
      <w:proofErr w:type="spellEnd"/>
      <w:r w:rsidRPr="00B37D16">
        <w:rPr>
          <w:rFonts w:ascii="Times New Roman" w:eastAsia="Times New Roman" w:hAnsi="Times New Roman" w:cs="Times New Roman"/>
          <w:sz w:val="24"/>
          <w:szCs w:val="24"/>
        </w:rPr>
        <w:t xml:space="preserve"> and Fein 1998) and type B complexes (Angove et al 1999b, Ali and </w:t>
      </w:r>
      <w:proofErr w:type="spellStart"/>
      <w:r w:rsidRPr="00B37D16">
        <w:rPr>
          <w:rFonts w:ascii="Times New Roman" w:eastAsia="Times New Roman" w:hAnsi="Times New Roman" w:cs="Times New Roman"/>
          <w:sz w:val="24"/>
          <w:szCs w:val="24"/>
        </w:rPr>
        <w:t>Dzombak</w:t>
      </w:r>
      <w:proofErr w:type="spellEnd"/>
      <w:r w:rsidRPr="00B37D16">
        <w:rPr>
          <w:rFonts w:ascii="Times New Roman" w:eastAsia="Times New Roman" w:hAnsi="Times New Roman" w:cs="Times New Roman"/>
          <w:sz w:val="24"/>
          <w:szCs w:val="24"/>
        </w:rPr>
        <w:t xml:space="preserve"> 1996) were invoked to fit batch adsorption data. Surface complexation models describing proton and phthalate adsorption on the goethite particles used for this study were previously obtained in the framework of the Multisite Complexation Model (MUSIC) (</w:t>
      </w:r>
      <w:proofErr w:type="spellStart"/>
      <w:r w:rsidRPr="00B37D16">
        <w:rPr>
          <w:rFonts w:ascii="Times New Roman" w:eastAsia="Times New Roman" w:hAnsi="Times New Roman" w:cs="Times New Roman"/>
          <w:sz w:val="24"/>
          <w:szCs w:val="24"/>
        </w:rPr>
        <w:t>Hiemstra</w:t>
      </w:r>
      <w:proofErr w:type="spellEnd"/>
      <w:r w:rsidRPr="00B37D16">
        <w:rPr>
          <w:rFonts w:ascii="Times New Roman" w:eastAsia="Times New Roman" w:hAnsi="Times New Roman" w:cs="Times New Roman"/>
          <w:sz w:val="24"/>
          <w:szCs w:val="24"/>
        </w:rPr>
        <w:t xml:space="preserve"> and van </w:t>
      </w:r>
      <w:proofErr w:type="spellStart"/>
      <w:r w:rsidRPr="00B37D16">
        <w:rPr>
          <w:rFonts w:ascii="Times New Roman" w:eastAsia="Times New Roman" w:hAnsi="Times New Roman" w:cs="Times New Roman"/>
          <w:sz w:val="24"/>
          <w:szCs w:val="24"/>
        </w:rPr>
        <w:t>Riemsdijk</w:t>
      </w:r>
      <w:proofErr w:type="spellEnd"/>
      <w:r w:rsidRPr="00B37D16">
        <w:rPr>
          <w:rFonts w:ascii="Times New Roman" w:eastAsia="Times New Roman" w:hAnsi="Times New Roman" w:cs="Times New Roman"/>
          <w:sz w:val="24"/>
          <w:szCs w:val="24"/>
        </w:rPr>
        <w:t>, 1996), providing a consistent view of the type, distribution and charge of different surface sites and adsorbed species. These models are able to predict the molecular-scale speciation of inner-sphere and outer-sphere phthalate complexes on different crystal planes (</w:t>
      </w:r>
      <w:proofErr w:type="spellStart"/>
      <w:r w:rsidRPr="00B37D16">
        <w:rPr>
          <w:rFonts w:ascii="Times New Roman" w:eastAsia="Times New Roman" w:hAnsi="Times New Roman" w:cs="Times New Roman"/>
          <w:sz w:val="24"/>
          <w:szCs w:val="24"/>
        </w:rPr>
        <w:t>Boily</w:t>
      </w:r>
      <w:proofErr w:type="spellEnd"/>
      <w:r w:rsidRPr="00B37D16">
        <w:rPr>
          <w:rFonts w:ascii="Times New Roman" w:eastAsia="Times New Roman" w:hAnsi="Times New Roman" w:cs="Times New Roman"/>
          <w:sz w:val="24"/>
          <w:szCs w:val="24"/>
        </w:rPr>
        <w:t xml:space="preserve"> et al 2000a, </w:t>
      </w:r>
      <w:proofErr w:type="spellStart"/>
      <w:r w:rsidRPr="00B37D16">
        <w:rPr>
          <w:rFonts w:ascii="Times New Roman" w:eastAsia="Times New Roman" w:hAnsi="Times New Roman" w:cs="Times New Roman"/>
          <w:sz w:val="24"/>
          <w:szCs w:val="24"/>
        </w:rPr>
        <w:t>Boily</w:t>
      </w:r>
      <w:proofErr w:type="spellEnd"/>
      <w:r w:rsidRPr="00B37D16">
        <w:rPr>
          <w:rFonts w:ascii="Times New Roman" w:eastAsia="Times New Roman" w:hAnsi="Times New Roman" w:cs="Times New Roman"/>
          <w:sz w:val="24"/>
          <w:szCs w:val="24"/>
        </w:rPr>
        <w:t xml:space="preserve"> et al 2000b, </w:t>
      </w:r>
      <w:proofErr w:type="spellStart"/>
      <w:r w:rsidRPr="00B37D16">
        <w:rPr>
          <w:rFonts w:ascii="Times New Roman" w:eastAsia="Times New Roman" w:hAnsi="Times New Roman" w:cs="Times New Roman"/>
          <w:sz w:val="24"/>
          <w:szCs w:val="24"/>
        </w:rPr>
        <w:t>Boily</w:t>
      </w:r>
      <w:proofErr w:type="spellEnd"/>
      <w:r w:rsidRPr="00B37D16">
        <w:rPr>
          <w:rFonts w:ascii="Times New Roman" w:eastAsia="Times New Roman" w:hAnsi="Times New Roman" w:cs="Times New Roman"/>
          <w:sz w:val="24"/>
          <w:szCs w:val="24"/>
        </w:rPr>
        <w:t xml:space="preserve"> et al 2000c) as well as the pH and ionic strength-dependence of zeta potentials (</w:t>
      </w:r>
      <w:proofErr w:type="spellStart"/>
      <w:r w:rsidRPr="00B37D16">
        <w:rPr>
          <w:rFonts w:ascii="Times New Roman" w:eastAsia="Times New Roman" w:hAnsi="Times New Roman" w:cs="Times New Roman"/>
          <w:sz w:val="24"/>
          <w:szCs w:val="24"/>
        </w:rPr>
        <w:t>Boily</w:t>
      </w:r>
      <w:proofErr w:type="spellEnd"/>
      <w:r w:rsidRPr="00B37D16">
        <w:rPr>
          <w:rFonts w:ascii="Times New Roman" w:eastAsia="Times New Roman" w:hAnsi="Times New Roman" w:cs="Times New Roman"/>
          <w:sz w:val="24"/>
          <w:szCs w:val="24"/>
        </w:rPr>
        <w:t xml:space="preserve"> 1999, </w:t>
      </w:r>
      <w:proofErr w:type="spellStart"/>
      <w:r w:rsidRPr="00B37D16">
        <w:rPr>
          <w:rFonts w:ascii="Times New Roman" w:eastAsia="Times New Roman" w:hAnsi="Times New Roman" w:cs="Times New Roman"/>
          <w:sz w:val="24"/>
          <w:szCs w:val="24"/>
        </w:rPr>
        <w:t>Boily</w:t>
      </w:r>
      <w:proofErr w:type="spellEnd"/>
      <w:r w:rsidRPr="00B37D16">
        <w:rPr>
          <w:rFonts w:ascii="Times New Roman" w:eastAsia="Times New Roman" w:hAnsi="Times New Roman" w:cs="Times New Roman"/>
          <w:sz w:val="24"/>
          <w:szCs w:val="24"/>
        </w:rPr>
        <w:t xml:space="preserve"> et al 2001). Mechanistic models describing the adsorption of </w:t>
      </w:r>
      <w:proofErr w:type="gramStart"/>
      <w:r w:rsidRPr="00B37D16">
        <w:rPr>
          <w:rFonts w:ascii="Times New Roman" w:eastAsia="Times New Roman" w:hAnsi="Times New Roman" w:cs="Times New Roman"/>
          <w:sz w:val="24"/>
          <w:szCs w:val="24"/>
        </w:rPr>
        <w:t>Cd(</w:t>
      </w:r>
      <w:proofErr w:type="gramEnd"/>
      <w:r w:rsidRPr="00B37D16">
        <w:rPr>
          <w:rFonts w:ascii="Times New Roman" w:eastAsia="Times New Roman" w:hAnsi="Times New Roman" w:cs="Times New Roman"/>
          <w:sz w:val="24"/>
          <w:szCs w:val="24"/>
        </w:rPr>
        <w:t xml:space="preserve">II) on different crystal planes of goethite have already been proposed by </w:t>
      </w:r>
      <w:proofErr w:type="spellStart"/>
      <w:r w:rsidRPr="00B37D16">
        <w:rPr>
          <w:rFonts w:ascii="Times New Roman" w:eastAsia="Times New Roman" w:hAnsi="Times New Roman" w:cs="Times New Roman"/>
          <w:sz w:val="24"/>
          <w:szCs w:val="24"/>
        </w:rPr>
        <w:t>Venema</w:t>
      </w:r>
      <w:proofErr w:type="spellEnd"/>
      <w:r w:rsidRPr="00B37D16">
        <w:rPr>
          <w:rFonts w:ascii="Times New Roman" w:eastAsia="Times New Roman" w:hAnsi="Times New Roman" w:cs="Times New Roman"/>
          <w:sz w:val="24"/>
          <w:szCs w:val="24"/>
        </w:rPr>
        <w:t xml:space="preserve"> et al. (1996a) and </w:t>
      </w:r>
      <w:proofErr w:type="spellStart"/>
      <w:r w:rsidRPr="00B37D16">
        <w:rPr>
          <w:rFonts w:ascii="Times New Roman" w:eastAsia="Times New Roman" w:hAnsi="Times New Roman" w:cs="Times New Roman"/>
          <w:sz w:val="24"/>
          <w:szCs w:val="24"/>
        </w:rPr>
        <w:t>Spadini</w:t>
      </w:r>
      <w:proofErr w:type="spellEnd"/>
      <w:r w:rsidRPr="00B37D16">
        <w:rPr>
          <w:rFonts w:ascii="Times New Roman" w:eastAsia="Times New Roman" w:hAnsi="Times New Roman" w:cs="Times New Roman"/>
          <w:sz w:val="24"/>
          <w:szCs w:val="24"/>
        </w:rPr>
        <w:t xml:space="preserve"> et al. (2003) using the EXAFS results of </w:t>
      </w:r>
      <w:proofErr w:type="spellStart"/>
      <w:r w:rsidRPr="00B37D16">
        <w:rPr>
          <w:rFonts w:ascii="Times New Roman" w:eastAsia="Times New Roman" w:hAnsi="Times New Roman" w:cs="Times New Roman"/>
          <w:sz w:val="24"/>
          <w:szCs w:val="24"/>
        </w:rPr>
        <w:t>Spadini</w:t>
      </w:r>
      <w:proofErr w:type="spellEnd"/>
      <w:r w:rsidRPr="00B37D16">
        <w:rPr>
          <w:rFonts w:ascii="Times New Roman" w:eastAsia="Times New Roman" w:hAnsi="Times New Roman" w:cs="Times New Roman"/>
          <w:sz w:val="24"/>
          <w:szCs w:val="24"/>
        </w:rPr>
        <w:t xml:space="preserve"> et al. (1994) and Randall et al. (1999). In this paper we add further insight into this issue with additional EXAFS data and with a full set of batch adsorption and potentiometric data. Proton and </w:t>
      </w:r>
      <w:proofErr w:type="gramStart"/>
      <w:r w:rsidRPr="00B37D16">
        <w:rPr>
          <w:rFonts w:ascii="Times New Roman" w:eastAsia="Times New Roman" w:hAnsi="Times New Roman" w:cs="Times New Roman"/>
          <w:sz w:val="24"/>
          <w:szCs w:val="24"/>
        </w:rPr>
        <w:t>Cd(</w:t>
      </w:r>
      <w:proofErr w:type="gramEnd"/>
      <w:r w:rsidRPr="00B37D16">
        <w:rPr>
          <w:rFonts w:ascii="Times New Roman" w:eastAsia="Times New Roman" w:hAnsi="Times New Roman" w:cs="Times New Roman"/>
          <w:sz w:val="24"/>
          <w:szCs w:val="24"/>
        </w:rPr>
        <w:t>II) adsorption experiments are also carried out on goethite particles of different specific surface area possessing different proton adsorption isotherms.</w:t>
      </w:r>
    </w:p>
    <w:p w:rsidR="00B37D16" w:rsidRPr="00B37D16" w:rsidRDefault="00B37D16" w:rsidP="00B37D16">
      <w:pPr>
        <w:spacing w:before="100" w:beforeAutospacing="1" w:after="100" w:afterAutospacing="1" w:line="240" w:lineRule="auto"/>
        <w:outlineLvl w:val="1"/>
        <w:rPr>
          <w:rFonts w:ascii="Times New Roman" w:eastAsia="Times New Roman" w:hAnsi="Times New Roman" w:cs="Times New Roman"/>
          <w:b/>
          <w:bCs/>
          <w:sz w:val="36"/>
          <w:szCs w:val="36"/>
        </w:rPr>
      </w:pPr>
      <w:r w:rsidRPr="00B37D16">
        <w:rPr>
          <w:rFonts w:ascii="Times New Roman" w:eastAsia="Times New Roman" w:hAnsi="Times New Roman" w:cs="Times New Roman"/>
          <w:b/>
          <w:bCs/>
          <w:sz w:val="36"/>
          <w:szCs w:val="36"/>
        </w:rPr>
        <w:lastRenderedPageBreak/>
        <w:t>Section snippets</w:t>
      </w:r>
    </w:p>
    <w:p w:rsidR="00B37D16" w:rsidRPr="00B37D16" w:rsidRDefault="00B37D16" w:rsidP="00B37D16">
      <w:pPr>
        <w:spacing w:before="100" w:beforeAutospacing="1" w:after="100" w:afterAutospacing="1" w:line="240" w:lineRule="auto"/>
        <w:outlineLvl w:val="1"/>
        <w:rPr>
          <w:rFonts w:ascii="Times New Roman" w:eastAsia="Times New Roman" w:hAnsi="Times New Roman" w:cs="Times New Roman"/>
          <w:b/>
          <w:bCs/>
          <w:sz w:val="36"/>
          <w:szCs w:val="36"/>
        </w:rPr>
      </w:pPr>
      <w:r w:rsidRPr="00B37D16">
        <w:rPr>
          <w:rFonts w:ascii="Times New Roman" w:eastAsia="Times New Roman" w:hAnsi="Times New Roman" w:cs="Times New Roman"/>
          <w:b/>
          <w:bCs/>
          <w:sz w:val="36"/>
          <w:szCs w:val="36"/>
        </w:rPr>
        <w:t>Goethite</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Crystalline goethite (α-</w:t>
      </w:r>
      <w:proofErr w:type="spellStart"/>
      <w:r w:rsidRPr="00B37D16">
        <w:rPr>
          <w:rFonts w:ascii="Times New Roman" w:eastAsia="Times New Roman" w:hAnsi="Times New Roman" w:cs="Times New Roman"/>
          <w:sz w:val="24"/>
          <w:szCs w:val="24"/>
        </w:rPr>
        <w:t>FeOOH</w:t>
      </w:r>
      <w:proofErr w:type="spellEnd"/>
      <w:r w:rsidRPr="00B37D16">
        <w:rPr>
          <w:rFonts w:ascii="Times New Roman" w:eastAsia="Times New Roman" w:hAnsi="Times New Roman" w:cs="Times New Roman"/>
          <w:sz w:val="24"/>
          <w:szCs w:val="24"/>
        </w:rPr>
        <w:t>) was prepared in two ways. A low surface area goethite (37 m</w:t>
      </w:r>
      <w:r w:rsidRPr="00B37D16">
        <w:rPr>
          <w:rFonts w:ascii="Times New Roman" w:eastAsia="Times New Roman" w:hAnsi="Times New Roman" w:cs="Times New Roman"/>
          <w:sz w:val="24"/>
          <w:szCs w:val="24"/>
          <w:vertAlign w:val="superscript"/>
        </w:rPr>
        <w:t>2</w:t>
      </w:r>
      <w:r w:rsidRPr="00B37D16">
        <w:rPr>
          <w:rFonts w:ascii="Times New Roman" w:eastAsia="Times New Roman" w:hAnsi="Times New Roman" w:cs="Times New Roman"/>
          <w:sz w:val="24"/>
          <w:szCs w:val="24"/>
        </w:rPr>
        <w:t xml:space="preserve">/g) was prepared according to the method of Atkinson et al. (1967) by mixing 400 mL KOH (2.5 mol/L) to 1650 mL </w:t>
      </w:r>
      <w:proofErr w:type="gramStart"/>
      <w:r w:rsidRPr="00B37D16">
        <w:rPr>
          <w:rFonts w:ascii="Times New Roman" w:eastAsia="Times New Roman" w:hAnsi="Times New Roman" w:cs="Times New Roman"/>
          <w:sz w:val="24"/>
          <w:szCs w:val="24"/>
        </w:rPr>
        <w:t>Fe(</w:t>
      </w:r>
      <w:proofErr w:type="gramEnd"/>
      <w:r w:rsidRPr="00B37D16">
        <w:rPr>
          <w:rFonts w:ascii="Times New Roman" w:eastAsia="Times New Roman" w:hAnsi="Times New Roman" w:cs="Times New Roman"/>
          <w:sz w:val="24"/>
          <w:szCs w:val="24"/>
        </w:rPr>
        <w:t>NO</w:t>
      </w:r>
      <w:r w:rsidRPr="00B37D16">
        <w:rPr>
          <w:rFonts w:ascii="Times New Roman" w:eastAsia="Times New Roman" w:hAnsi="Times New Roman" w:cs="Times New Roman"/>
          <w:sz w:val="24"/>
          <w:szCs w:val="24"/>
          <w:vertAlign w:val="subscript"/>
        </w:rPr>
        <w:t>3</w:t>
      </w:r>
      <w:r w:rsidRPr="00B37D16">
        <w:rPr>
          <w:rFonts w:ascii="Times New Roman" w:eastAsia="Times New Roman" w:hAnsi="Times New Roman" w:cs="Times New Roman"/>
          <w:sz w:val="24"/>
          <w:szCs w:val="24"/>
        </w:rPr>
        <w:t>)</w:t>
      </w:r>
      <w:r w:rsidRPr="00B37D16">
        <w:rPr>
          <w:rFonts w:ascii="Times New Roman" w:eastAsia="Times New Roman" w:hAnsi="Times New Roman" w:cs="Times New Roman"/>
          <w:sz w:val="24"/>
          <w:szCs w:val="24"/>
          <w:vertAlign w:val="subscript"/>
        </w:rPr>
        <w:t>3</w:t>
      </w:r>
      <w:r w:rsidRPr="00B37D16">
        <w:rPr>
          <w:rFonts w:ascii="Times New Roman" w:eastAsia="Times New Roman" w:hAnsi="Times New Roman" w:cs="Times New Roman"/>
          <w:sz w:val="24"/>
          <w:szCs w:val="24"/>
        </w:rPr>
        <w:t xml:space="preserve"> (0.15 mol/L) in one addition and thoroughly mixing the freshly-precipitated solids. The precipitates were aged for 48 h at 358 K and washed repeatedly until the pH of the supernatant reached 7 to 8 and the electric resistance of the supernatant was &gt; 10 k Ω/cm. A high surface area</w:t>
      </w:r>
    </w:p>
    <w:p w:rsidR="00B37D16" w:rsidRPr="00B37D16" w:rsidRDefault="00B37D16" w:rsidP="00B37D16">
      <w:pPr>
        <w:spacing w:before="100" w:beforeAutospacing="1" w:after="100" w:afterAutospacing="1" w:line="240" w:lineRule="auto"/>
        <w:outlineLvl w:val="1"/>
        <w:rPr>
          <w:rFonts w:ascii="Times New Roman" w:eastAsia="Times New Roman" w:hAnsi="Times New Roman" w:cs="Times New Roman"/>
          <w:b/>
          <w:bCs/>
          <w:sz w:val="36"/>
          <w:szCs w:val="36"/>
        </w:rPr>
      </w:pPr>
      <w:r w:rsidRPr="00B37D16">
        <w:rPr>
          <w:rFonts w:ascii="Times New Roman" w:eastAsia="Times New Roman" w:hAnsi="Times New Roman" w:cs="Times New Roman"/>
          <w:b/>
          <w:bCs/>
          <w:sz w:val="36"/>
          <w:szCs w:val="36"/>
        </w:rPr>
        <w:t>Adsorption and Titration Data</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 xml:space="preserve">The batch adsorption data and the titration data are shown in Figure 2. The titration data are presented as the number of protons consumed per total proton active surface site as a function of pH: </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 xml:space="preserve">where </w:t>
      </w:r>
      <w:r w:rsidRPr="00B37D16">
        <w:rPr>
          <w:rFonts w:ascii="Times New Roman" w:eastAsia="Times New Roman" w:hAnsi="Times New Roman" w:cs="Times New Roman"/>
          <w:i/>
          <w:iCs/>
          <w:sz w:val="24"/>
          <w:szCs w:val="24"/>
        </w:rPr>
        <w:t>H</w:t>
      </w:r>
      <w:r w:rsidRPr="00B37D16">
        <w:rPr>
          <w:rFonts w:ascii="Times New Roman" w:eastAsia="Times New Roman" w:hAnsi="Times New Roman" w:cs="Times New Roman"/>
          <w:sz w:val="24"/>
          <w:szCs w:val="24"/>
        </w:rPr>
        <w:t xml:space="preserve"> is the total concentration of acid (mol/L), [</w:t>
      </w:r>
      <w:r w:rsidRPr="00B37D16">
        <w:rPr>
          <w:rFonts w:ascii="Times New Roman" w:eastAsia="Times New Roman" w:hAnsi="Times New Roman" w:cs="Times New Roman"/>
          <w:i/>
          <w:iCs/>
          <w:sz w:val="24"/>
          <w:szCs w:val="24"/>
        </w:rPr>
        <w:t>H</w:t>
      </w:r>
      <w:r w:rsidRPr="00B37D16">
        <w:rPr>
          <w:rFonts w:ascii="Times New Roman" w:eastAsia="Times New Roman" w:hAnsi="Times New Roman" w:cs="Times New Roman"/>
          <w:sz w:val="24"/>
          <w:szCs w:val="24"/>
          <w:vertAlign w:val="superscript"/>
        </w:rPr>
        <w:t>+</w:t>
      </w:r>
      <w:r w:rsidRPr="00B37D16">
        <w:rPr>
          <w:rFonts w:ascii="Times New Roman" w:eastAsia="Times New Roman" w:hAnsi="Times New Roman" w:cs="Times New Roman"/>
          <w:sz w:val="24"/>
          <w:szCs w:val="24"/>
        </w:rPr>
        <w:t xml:space="preserve">] is the free concentration of acid, </w:t>
      </w:r>
      <w:r w:rsidRPr="00B37D16">
        <w:rPr>
          <w:rFonts w:ascii="Times New Roman" w:eastAsia="Times New Roman" w:hAnsi="Times New Roman" w:cs="Times New Roman"/>
          <w:i/>
          <w:iCs/>
          <w:sz w:val="24"/>
          <w:szCs w:val="24"/>
        </w:rPr>
        <w:t>K</w:t>
      </w:r>
      <w:r w:rsidRPr="00B37D16">
        <w:rPr>
          <w:rFonts w:ascii="Times New Roman" w:eastAsia="Times New Roman" w:hAnsi="Times New Roman" w:cs="Times New Roman"/>
          <w:sz w:val="24"/>
          <w:szCs w:val="24"/>
          <w:vertAlign w:val="subscript"/>
        </w:rPr>
        <w:t>w</w:t>
      </w:r>
      <w:r w:rsidRPr="00B37D16">
        <w:rPr>
          <w:rFonts w:ascii="Times New Roman" w:eastAsia="Times New Roman" w:hAnsi="Times New Roman" w:cs="Times New Roman"/>
          <w:sz w:val="24"/>
          <w:szCs w:val="24"/>
        </w:rPr>
        <w:t xml:space="preserve"> is the dissociation constant of water (</w:t>
      </w:r>
      <w:proofErr w:type="spellStart"/>
      <w:r w:rsidRPr="00B37D16">
        <w:rPr>
          <w:rFonts w:ascii="Times New Roman" w:eastAsia="Times New Roman" w:hAnsi="Times New Roman" w:cs="Times New Roman"/>
          <w:sz w:val="24"/>
          <w:szCs w:val="24"/>
        </w:rPr>
        <w:t>Sjöberg</w:t>
      </w:r>
      <w:proofErr w:type="spellEnd"/>
      <w:r w:rsidRPr="00B37D16">
        <w:rPr>
          <w:rFonts w:ascii="Times New Roman" w:eastAsia="Times New Roman" w:hAnsi="Times New Roman" w:cs="Times New Roman"/>
          <w:sz w:val="24"/>
          <w:szCs w:val="24"/>
        </w:rPr>
        <w:t xml:space="preserve"> et al., 1983), and the denominator represents the sum of the proton active surface </w:t>
      </w:r>
    </w:p>
    <w:p w:rsidR="00B37D16" w:rsidRPr="00B37D16" w:rsidRDefault="00B37D16" w:rsidP="00B37D16">
      <w:pPr>
        <w:spacing w:before="100" w:beforeAutospacing="1" w:after="100" w:afterAutospacing="1" w:line="240" w:lineRule="auto"/>
        <w:outlineLvl w:val="1"/>
        <w:rPr>
          <w:rFonts w:ascii="Times New Roman" w:eastAsia="Times New Roman" w:hAnsi="Times New Roman" w:cs="Times New Roman"/>
          <w:b/>
          <w:bCs/>
          <w:sz w:val="36"/>
          <w:szCs w:val="36"/>
        </w:rPr>
      </w:pPr>
      <w:r w:rsidRPr="00B37D16">
        <w:rPr>
          <w:rFonts w:ascii="Times New Roman" w:eastAsia="Times New Roman" w:hAnsi="Times New Roman" w:cs="Times New Roman"/>
          <w:b/>
          <w:bCs/>
          <w:sz w:val="36"/>
          <w:szCs w:val="36"/>
        </w:rPr>
        <w:t>Conclusions</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 xml:space="preserve">This study reports the structures and stabilities of </w:t>
      </w:r>
      <w:proofErr w:type="gramStart"/>
      <w:r w:rsidRPr="00B37D16">
        <w:rPr>
          <w:rFonts w:ascii="Times New Roman" w:eastAsia="Times New Roman" w:hAnsi="Times New Roman" w:cs="Times New Roman"/>
          <w:sz w:val="24"/>
          <w:szCs w:val="24"/>
        </w:rPr>
        <w:t>Cd(</w:t>
      </w:r>
      <w:proofErr w:type="gramEnd"/>
      <w:r w:rsidRPr="00B37D16">
        <w:rPr>
          <w:rFonts w:ascii="Times New Roman" w:eastAsia="Times New Roman" w:hAnsi="Times New Roman" w:cs="Times New Roman"/>
          <w:sz w:val="24"/>
          <w:szCs w:val="24"/>
        </w:rPr>
        <w:t xml:space="preserve">II) and Cd(II)-phthalate surface complexes at the goethite/water interface. EXAFS has shown that </w:t>
      </w:r>
      <w:proofErr w:type="gramStart"/>
      <w:r w:rsidRPr="00B37D16">
        <w:rPr>
          <w:rFonts w:ascii="Times New Roman" w:eastAsia="Times New Roman" w:hAnsi="Times New Roman" w:cs="Times New Roman"/>
          <w:sz w:val="24"/>
          <w:szCs w:val="24"/>
        </w:rPr>
        <w:t>Cd(</w:t>
      </w:r>
      <w:proofErr w:type="gramEnd"/>
      <w:r w:rsidRPr="00B37D16">
        <w:rPr>
          <w:rFonts w:ascii="Times New Roman" w:eastAsia="Times New Roman" w:hAnsi="Times New Roman" w:cs="Times New Roman"/>
          <w:sz w:val="24"/>
          <w:szCs w:val="24"/>
        </w:rPr>
        <w:t xml:space="preserve">II) forms only </w:t>
      </w:r>
      <w:proofErr w:type="spellStart"/>
      <w:r w:rsidRPr="00B37D16">
        <w:rPr>
          <w:rFonts w:ascii="Times New Roman" w:eastAsia="Times New Roman" w:hAnsi="Times New Roman" w:cs="Times New Roman"/>
          <w:sz w:val="24"/>
          <w:szCs w:val="24"/>
        </w:rPr>
        <w:t>bidendate</w:t>
      </w:r>
      <w:proofErr w:type="spellEnd"/>
      <w:r w:rsidRPr="00B37D16">
        <w:rPr>
          <w:rFonts w:ascii="Times New Roman" w:eastAsia="Times New Roman" w:hAnsi="Times New Roman" w:cs="Times New Roman"/>
          <w:sz w:val="24"/>
          <w:szCs w:val="24"/>
        </w:rPr>
        <w:t xml:space="preserve"> surface complexes on goethite. The results of the modelling attempts also show that complexes on the {110} and on the {001} planes are required to fit the batch adsorption and titration data. A hydrolyzed surface complex, although not detected in the EXAFS spectra, is necessary to model excess proton release at high</w:t>
      </w:r>
    </w:p>
    <w:p w:rsidR="00B37D16" w:rsidRPr="00B37D16" w:rsidRDefault="00B37D16" w:rsidP="00B37D16">
      <w:pPr>
        <w:spacing w:before="100" w:beforeAutospacing="1" w:after="100" w:afterAutospacing="1" w:line="240" w:lineRule="auto"/>
        <w:outlineLvl w:val="1"/>
        <w:rPr>
          <w:rFonts w:ascii="Times New Roman" w:eastAsia="Times New Roman" w:hAnsi="Times New Roman" w:cs="Times New Roman"/>
          <w:b/>
          <w:bCs/>
          <w:sz w:val="36"/>
          <w:szCs w:val="36"/>
        </w:rPr>
      </w:pPr>
      <w:r w:rsidRPr="00B37D16">
        <w:rPr>
          <w:rFonts w:ascii="Times New Roman" w:eastAsia="Times New Roman" w:hAnsi="Times New Roman" w:cs="Times New Roman"/>
          <w:b/>
          <w:bCs/>
          <w:sz w:val="36"/>
          <w:szCs w:val="36"/>
        </w:rPr>
        <w:t>Acknowledgments</w:t>
      </w:r>
    </w:p>
    <w:p w:rsidR="00B37D16" w:rsidRPr="00B37D16" w:rsidRDefault="00B37D16" w:rsidP="00B37D16">
      <w:pPr>
        <w:spacing w:before="100" w:beforeAutospacing="1" w:after="100" w:afterAutospacing="1" w:line="240" w:lineRule="auto"/>
        <w:rPr>
          <w:rFonts w:ascii="Times New Roman" w:eastAsia="Times New Roman" w:hAnsi="Times New Roman" w:cs="Times New Roman"/>
          <w:sz w:val="24"/>
          <w:szCs w:val="24"/>
        </w:rPr>
      </w:pPr>
      <w:r w:rsidRPr="00B37D16">
        <w:rPr>
          <w:rFonts w:ascii="Times New Roman" w:eastAsia="Times New Roman" w:hAnsi="Times New Roman" w:cs="Times New Roman"/>
          <w:sz w:val="24"/>
          <w:szCs w:val="24"/>
        </w:rPr>
        <w:t>This work was supported by the Swedish Natural Science Research Council.</w:t>
      </w:r>
    </w:p>
    <w:p w:rsidR="006E02C2" w:rsidRDefault="006E02C2"/>
    <w:sectPr w:rsidR="006E02C2">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D16"/>
    <w:rsid w:val="006E02C2"/>
    <w:rsid w:val="00B37D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7474A"/>
  <w15:chartTrackingRefBased/>
  <w15:docId w15:val="{FEEC8A78-EF8E-47F1-9FDA-5FA148F03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99777780">
      <w:bodyDiv w:val="1"/>
      <w:marLeft w:val="0"/>
      <w:marRight w:val="0"/>
      <w:marTop w:val="0"/>
      <w:marBottom w:val="0"/>
      <w:divBdr>
        <w:top w:val="none" w:sz="0" w:space="0" w:color="auto"/>
        <w:left w:val="none" w:sz="0" w:space="0" w:color="auto"/>
        <w:bottom w:val="none" w:sz="0" w:space="0" w:color="auto"/>
        <w:right w:val="none" w:sz="0" w:space="0" w:color="auto"/>
      </w:divBdr>
      <w:divsChild>
        <w:div w:id="10106302">
          <w:marLeft w:val="0"/>
          <w:marRight w:val="0"/>
          <w:marTop w:val="0"/>
          <w:marBottom w:val="0"/>
          <w:divBdr>
            <w:top w:val="none" w:sz="0" w:space="0" w:color="auto"/>
            <w:left w:val="none" w:sz="0" w:space="0" w:color="auto"/>
            <w:bottom w:val="none" w:sz="0" w:space="0" w:color="auto"/>
            <w:right w:val="none" w:sz="0" w:space="0" w:color="auto"/>
          </w:divBdr>
          <w:divsChild>
            <w:div w:id="1414005376">
              <w:marLeft w:val="0"/>
              <w:marRight w:val="0"/>
              <w:marTop w:val="0"/>
              <w:marBottom w:val="0"/>
              <w:divBdr>
                <w:top w:val="none" w:sz="0" w:space="0" w:color="auto"/>
                <w:left w:val="none" w:sz="0" w:space="0" w:color="auto"/>
                <w:bottom w:val="none" w:sz="0" w:space="0" w:color="auto"/>
                <w:right w:val="none" w:sz="0" w:space="0" w:color="auto"/>
              </w:divBdr>
              <w:divsChild>
                <w:div w:id="1419473763">
                  <w:marLeft w:val="0"/>
                  <w:marRight w:val="0"/>
                  <w:marTop w:val="0"/>
                  <w:marBottom w:val="0"/>
                  <w:divBdr>
                    <w:top w:val="none" w:sz="0" w:space="0" w:color="auto"/>
                    <w:left w:val="none" w:sz="0" w:space="0" w:color="auto"/>
                    <w:bottom w:val="none" w:sz="0" w:space="0" w:color="auto"/>
                    <w:right w:val="none" w:sz="0" w:space="0" w:color="auto"/>
                  </w:divBdr>
                  <w:divsChild>
                    <w:div w:id="32973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694333">
          <w:marLeft w:val="0"/>
          <w:marRight w:val="0"/>
          <w:marTop w:val="0"/>
          <w:marBottom w:val="0"/>
          <w:divBdr>
            <w:top w:val="none" w:sz="0" w:space="0" w:color="auto"/>
            <w:left w:val="none" w:sz="0" w:space="0" w:color="auto"/>
            <w:bottom w:val="none" w:sz="0" w:space="0" w:color="auto"/>
            <w:right w:val="none" w:sz="0" w:space="0" w:color="auto"/>
          </w:divBdr>
          <w:divsChild>
            <w:div w:id="1932154128">
              <w:marLeft w:val="0"/>
              <w:marRight w:val="0"/>
              <w:marTop w:val="0"/>
              <w:marBottom w:val="0"/>
              <w:divBdr>
                <w:top w:val="none" w:sz="0" w:space="0" w:color="auto"/>
                <w:left w:val="none" w:sz="0" w:space="0" w:color="auto"/>
                <w:bottom w:val="none" w:sz="0" w:space="0" w:color="auto"/>
                <w:right w:val="none" w:sz="0" w:space="0" w:color="auto"/>
              </w:divBdr>
              <w:divsChild>
                <w:div w:id="1483079850">
                  <w:marLeft w:val="0"/>
                  <w:marRight w:val="0"/>
                  <w:marTop w:val="0"/>
                  <w:marBottom w:val="0"/>
                  <w:divBdr>
                    <w:top w:val="none" w:sz="0" w:space="0" w:color="auto"/>
                    <w:left w:val="none" w:sz="0" w:space="0" w:color="auto"/>
                    <w:bottom w:val="none" w:sz="0" w:space="0" w:color="auto"/>
                    <w:right w:val="none" w:sz="0" w:space="0" w:color="auto"/>
                  </w:divBdr>
                  <w:divsChild>
                    <w:div w:id="162727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944403">
          <w:marLeft w:val="0"/>
          <w:marRight w:val="0"/>
          <w:marTop w:val="0"/>
          <w:marBottom w:val="0"/>
          <w:divBdr>
            <w:top w:val="none" w:sz="0" w:space="0" w:color="auto"/>
            <w:left w:val="none" w:sz="0" w:space="0" w:color="auto"/>
            <w:bottom w:val="none" w:sz="0" w:space="0" w:color="auto"/>
            <w:right w:val="none" w:sz="0" w:space="0" w:color="auto"/>
          </w:divBdr>
          <w:divsChild>
            <w:div w:id="1340162767">
              <w:marLeft w:val="0"/>
              <w:marRight w:val="0"/>
              <w:marTop w:val="0"/>
              <w:marBottom w:val="0"/>
              <w:divBdr>
                <w:top w:val="none" w:sz="0" w:space="0" w:color="auto"/>
                <w:left w:val="none" w:sz="0" w:space="0" w:color="auto"/>
                <w:bottom w:val="none" w:sz="0" w:space="0" w:color="auto"/>
                <w:right w:val="none" w:sz="0" w:space="0" w:color="auto"/>
              </w:divBdr>
            </w:div>
          </w:divsChild>
        </w:div>
        <w:div w:id="1631746276">
          <w:marLeft w:val="0"/>
          <w:marRight w:val="0"/>
          <w:marTop w:val="0"/>
          <w:marBottom w:val="0"/>
          <w:divBdr>
            <w:top w:val="none" w:sz="0" w:space="0" w:color="auto"/>
            <w:left w:val="none" w:sz="0" w:space="0" w:color="auto"/>
            <w:bottom w:val="none" w:sz="0" w:space="0" w:color="auto"/>
            <w:right w:val="none" w:sz="0" w:space="0" w:color="auto"/>
          </w:divBdr>
          <w:divsChild>
            <w:div w:id="23856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phthalat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goethit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infrared-spectroscopy"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x-ray-absorption" TargetMode="External"/><Relationship Id="rId10" Type="http://schemas.openxmlformats.org/officeDocument/2006/relationships/fontTable" Target="fontTable.xml"/><Relationship Id="rId4" Type="http://schemas.openxmlformats.org/officeDocument/2006/relationships/hyperlink" Target="https://doi.org/10.1016/j.gca.2004.12.013" TargetMode="External"/><Relationship Id="rId9" Type="http://schemas.openxmlformats.org/officeDocument/2006/relationships/hyperlink" Target="https://www.sciencedirect.com/topics/earth-and-planetary-sciences/infrared-spectr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1488</Words>
  <Characters>8482</Characters>
  <Application>Microsoft Office Word</Application>
  <DocSecurity>0</DocSecurity>
  <Lines>70</Lines>
  <Paragraphs>19</Paragraphs>
  <ScaleCrop>false</ScaleCrop>
  <Company/>
  <LinksUpToDate>false</LinksUpToDate>
  <CharactersWithSpaces>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2023-11-18T08:14:00Z</dcterms:created>
  <dcterms:modified xsi:type="dcterms:W3CDTF">2023-11-18T08:15:00Z</dcterms:modified>
</cp:coreProperties>
</file>