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14485" w:rsidRPr="00514485" w:rsidRDefault="00514485" w:rsidP="0051448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14485">
        <w:rPr>
          <w:rFonts w:ascii="Times New Roman" w:eastAsia="Times New Roman" w:hAnsi="Times New Roman" w:cs="Times New Roman"/>
          <w:b/>
          <w:bCs/>
          <w:kern w:val="36"/>
          <w:sz w:val="48"/>
          <w:szCs w:val="48"/>
        </w:rPr>
        <w:t xml:space="preserve">The solubility of platinum and gold in NaCl brines at 1.5 </w:t>
      </w:r>
      <w:proofErr w:type="spellStart"/>
      <w:r w:rsidRPr="00514485">
        <w:rPr>
          <w:rFonts w:ascii="Times New Roman" w:eastAsia="Times New Roman" w:hAnsi="Times New Roman" w:cs="Times New Roman"/>
          <w:b/>
          <w:bCs/>
          <w:kern w:val="36"/>
          <w:sz w:val="48"/>
          <w:szCs w:val="48"/>
        </w:rPr>
        <w:t>kbar</w:t>
      </w:r>
      <w:proofErr w:type="spellEnd"/>
      <w:r w:rsidRPr="00514485">
        <w:rPr>
          <w:rFonts w:ascii="Times New Roman" w:eastAsia="Times New Roman" w:hAnsi="Times New Roman" w:cs="Times New Roman"/>
          <w:b/>
          <w:bCs/>
          <w:kern w:val="36"/>
          <w:sz w:val="48"/>
          <w:szCs w:val="48"/>
        </w:rPr>
        <w:t>, 600 to 800°C: A laser ablation ICP-MS pilot study of synthetic fluid inclusions</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Author links open overlay panel</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 , , </w:t>
      </w:r>
    </w:p>
    <w:p w:rsidR="00514485" w:rsidRPr="00514485" w:rsidRDefault="00514485" w:rsidP="0051448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14485">
          <w:rPr>
            <w:rFonts w:ascii="Times New Roman" w:eastAsia="Times New Roman" w:hAnsi="Times New Roman" w:cs="Times New Roman"/>
            <w:color w:val="0000FF"/>
            <w:sz w:val="24"/>
            <w:szCs w:val="24"/>
            <w:u w:val="single"/>
          </w:rPr>
          <w:t>https://doi.org/10.1016/j.gca.2004.11.005</w:t>
        </w:r>
      </w:hyperlink>
      <w:bookmarkStart w:id="0" w:name="_GoBack"/>
      <w:bookmarkEnd w:id="0"/>
      <w:r w:rsidRPr="00514485">
        <w:rPr>
          <w:rFonts w:ascii="Times New Roman" w:eastAsia="Times New Roman" w:hAnsi="Times New Roman" w:cs="Times New Roman"/>
          <w:sz w:val="24"/>
          <w:szCs w:val="24"/>
        </w:rPr>
        <w:t xml:space="preserve"> </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Referred to by</w:t>
      </w:r>
    </w:p>
    <w:p w:rsidR="00514485" w:rsidRPr="00514485" w:rsidRDefault="00514485" w:rsidP="00514485">
      <w:pPr>
        <w:spacing w:after="0" w:line="240" w:lineRule="auto"/>
        <w:rPr>
          <w:rFonts w:ascii="Times New Roman" w:eastAsia="Times New Roman" w:hAnsi="Times New Roman" w:cs="Times New Roman"/>
          <w:sz w:val="24"/>
          <w:szCs w:val="24"/>
        </w:rPr>
      </w:pPr>
      <w:hyperlink r:id="rId5" w:tooltip="Erratum to Jacob J. Hanley, Thomas Pettke, James E. Mungall and Edward T. C. Spooner (2005) “The solubility of platinum and gold in NaCl brines at 1.5 kbar, 600 to 800°C: A laser ablation ICP-MS pilot study of synthetic fluid inclusions”, Geochimica et Cosmochimica Acta 10, 2593–2611" w:history="1">
        <w:r w:rsidRPr="00514485">
          <w:rPr>
            <w:rFonts w:ascii="Times New Roman" w:eastAsia="Times New Roman" w:hAnsi="Times New Roman" w:cs="Times New Roman"/>
            <w:color w:val="0000FF"/>
            <w:sz w:val="24"/>
            <w:szCs w:val="24"/>
            <w:u w:val="single"/>
          </w:rPr>
          <w:t xml:space="preserve">Erratum to Jacob J. Hanley, Thomas </w:t>
        </w:r>
        <w:proofErr w:type="spellStart"/>
        <w:r w:rsidRPr="00514485">
          <w:rPr>
            <w:rFonts w:ascii="Times New Roman" w:eastAsia="Times New Roman" w:hAnsi="Times New Roman" w:cs="Times New Roman"/>
            <w:color w:val="0000FF"/>
            <w:sz w:val="24"/>
            <w:szCs w:val="24"/>
            <w:u w:val="single"/>
          </w:rPr>
          <w:t>Pettke</w:t>
        </w:r>
        <w:proofErr w:type="spellEnd"/>
        <w:r w:rsidRPr="00514485">
          <w:rPr>
            <w:rFonts w:ascii="Times New Roman" w:eastAsia="Times New Roman" w:hAnsi="Times New Roman" w:cs="Times New Roman"/>
            <w:color w:val="0000FF"/>
            <w:sz w:val="24"/>
            <w:szCs w:val="24"/>
            <w:u w:val="single"/>
          </w:rPr>
          <w:t xml:space="preserve">, James E. </w:t>
        </w:r>
        <w:proofErr w:type="spellStart"/>
        <w:r w:rsidRPr="00514485">
          <w:rPr>
            <w:rFonts w:ascii="Times New Roman" w:eastAsia="Times New Roman" w:hAnsi="Times New Roman" w:cs="Times New Roman"/>
            <w:color w:val="0000FF"/>
            <w:sz w:val="24"/>
            <w:szCs w:val="24"/>
            <w:u w:val="single"/>
          </w:rPr>
          <w:t>Mungall</w:t>
        </w:r>
        <w:proofErr w:type="spellEnd"/>
        <w:r w:rsidRPr="00514485">
          <w:rPr>
            <w:rFonts w:ascii="Times New Roman" w:eastAsia="Times New Roman" w:hAnsi="Times New Roman" w:cs="Times New Roman"/>
            <w:color w:val="0000FF"/>
            <w:sz w:val="24"/>
            <w:szCs w:val="24"/>
            <w:u w:val="single"/>
          </w:rPr>
          <w:t xml:space="preserve"> and Edward T. C. Spooner (2005) “The solubility of platinum and gold in NaCl brines at 1.5 </w:t>
        </w:r>
        <w:proofErr w:type="spellStart"/>
        <w:r w:rsidRPr="00514485">
          <w:rPr>
            <w:rFonts w:ascii="Times New Roman" w:eastAsia="Times New Roman" w:hAnsi="Times New Roman" w:cs="Times New Roman"/>
            <w:color w:val="0000FF"/>
            <w:sz w:val="24"/>
            <w:szCs w:val="24"/>
            <w:u w:val="single"/>
          </w:rPr>
          <w:t>kbar</w:t>
        </w:r>
        <w:proofErr w:type="spellEnd"/>
        <w:r w:rsidRPr="00514485">
          <w:rPr>
            <w:rFonts w:ascii="Times New Roman" w:eastAsia="Times New Roman" w:hAnsi="Times New Roman" w:cs="Times New Roman"/>
            <w:color w:val="0000FF"/>
            <w:sz w:val="24"/>
            <w:szCs w:val="24"/>
            <w:u w:val="single"/>
          </w:rPr>
          <w:t xml:space="preserve">, 600 to 800°C: A laser ablation ICP-MS pilot study of synthetic fluid inclusions”, </w:t>
        </w:r>
        <w:proofErr w:type="spellStart"/>
        <w:r w:rsidRPr="00514485">
          <w:rPr>
            <w:rFonts w:ascii="Times New Roman" w:eastAsia="Times New Roman" w:hAnsi="Times New Roman" w:cs="Times New Roman"/>
            <w:i/>
            <w:iCs/>
            <w:color w:val="0000FF"/>
            <w:sz w:val="24"/>
            <w:szCs w:val="24"/>
            <w:u w:val="single"/>
          </w:rPr>
          <w:t>Geochimica</w:t>
        </w:r>
        <w:proofErr w:type="spellEnd"/>
        <w:r w:rsidRPr="00514485">
          <w:rPr>
            <w:rFonts w:ascii="Times New Roman" w:eastAsia="Times New Roman" w:hAnsi="Times New Roman" w:cs="Times New Roman"/>
            <w:i/>
            <w:iCs/>
            <w:color w:val="0000FF"/>
            <w:sz w:val="24"/>
            <w:szCs w:val="24"/>
            <w:u w:val="single"/>
          </w:rPr>
          <w:t xml:space="preserve"> et </w:t>
        </w:r>
        <w:proofErr w:type="spellStart"/>
        <w:r w:rsidRPr="00514485">
          <w:rPr>
            <w:rFonts w:ascii="Times New Roman" w:eastAsia="Times New Roman" w:hAnsi="Times New Roman" w:cs="Times New Roman"/>
            <w:i/>
            <w:iCs/>
            <w:color w:val="0000FF"/>
            <w:sz w:val="24"/>
            <w:szCs w:val="24"/>
            <w:u w:val="single"/>
          </w:rPr>
          <w:t>Cosmochimica</w:t>
        </w:r>
        <w:proofErr w:type="spellEnd"/>
        <w:r w:rsidRPr="00514485">
          <w:rPr>
            <w:rFonts w:ascii="Times New Roman" w:eastAsia="Times New Roman" w:hAnsi="Times New Roman" w:cs="Times New Roman"/>
            <w:i/>
            <w:iCs/>
            <w:color w:val="0000FF"/>
            <w:sz w:val="24"/>
            <w:szCs w:val="24"/>
            <w:u w:val="single"/>
          </w:rPr>
          <w:t xml:space="preserve"> Acta</w:t>
        </w:r>
        <w:r w:rsidRPr="00514485">
          <w:rPr>
            <w:rFonts w:ascii="Times New Roman" w:eastAsia="Times New Roman" w:hAnsi="Times New Roman" w:cs="Times New Roman"/>
            <w:color w:val="0000FF"/>
            <w:sz w:val="24"/>
            <w:szCs w:val="24"/>
            <w:u w:val="single"/>
          </w:rPr>
          <w:t xml:space="preserve"> 10, 2593–2611</w:t>
        </w:r>
      </w:hyperlink>
    </w:p>
    <w:p w:rsidR="00514485" w:rsidRPr="00514485" w:rsidRDefault="00514485" w:rsidP="00514485">
      <w:pPr>
        <w:spacing w:after="0" w:line="240" w:lineRule="auto"/>
        <w:rPr>
          <w:rFonts w:ascii="Times New Roman" w:eastAsia="Times New Roman" w:hAnsi="Times New Roman" w:cs="Times New Roman"/>
          <w:sz w:val="24"/>
          <w:szCs w:val="24"/>
        </w:rPr>
      </w:pPr>
      <w:proofErr w:type="spellStart"/>
      <w:r w:rsidRPr="00514485">
        <w:rPr>
          <w:rFonts w:ascii="Times New Roman" w:eastAsia="Times New Roman" w:hAnsi="Times New Roman" w:cs="Times New Roman"/>
          <w:sz w:val="24"/>
          <w:szCs w:val="24"/>
        </w:rPr>
        <w:t>Geochimica</w:t>
      </w:r>
      <w:proofErr w:type="spellEnd"/>
      <w:r w:rsidRPr="00514485">
        <w:rPr>
          <w:rFonts w:ascii="Times New Roman" w:eastAsia="Times New Roman" w:hAnsi="Times New Roman" w:cs="Times New Roman"/>
          <w:sz w:val="24"/>
          <w:szCs w:val="24"/>
        </w:rPr>
        <w:t xml:space="preserve"> et </w:t>
      </w:r>
      <w:proofErr w:type="spellStart"/>
      <w:r w:rsidRPr="00514485">
        <w:rPr>
          <w:rFonts w:ascii="Times New Roman" w:eastAsia="Times New Roman" w:hAnsi="Times New Roman" w:cs="Times New Roman"/>
          <w:sz w:val="24"/>
          <w:szCs w:val="24"/>
        </w:rPr>
        <w:t>Cosmochimica</w:t>
      </w:r>
      <w:proofErr w:type="spellEnd"/>
      <w:r w:rsidRPr="00514485">
        <w:rPr>
          <w:rFonts w:ascii="Times New Roman" w:eastAsia="Times New Roman" w:hAnsi="Times New Roman" w:cs="Times New Roman"/>
          <w:sz w:val="24"/>
          <w:szCs w:val="24"/>
        </w:rPr>
        <w:t xml:space="preserve"> Acta, Volume 69, Issue 23, 1 December 2005, Pages 5635-5637</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Jacob J. Hanley</w:t>
      </w:r>
    </w:p>
    <w:p w:rsidR="00514485" w:rsidRPr="00514485" w:rsidRDefault="00514485" w:rsidP="00514485">
      <w:pPr>
        <w:spacing w:after="0" w:line="240" w:lineRule="auto"/>
        <w:rPr>
          <w:rFonts w:ascii="Times New Roman" w:eastAsia="Times New Roman" w:hAnsi="Times New Roman" w:cs="Times New Roman"/>
          <w:sz w:val="24"/>
          <w:szCs w:val="24"/>
        </w:rPr>
      </w:pPr>
      <w:hyperlink r:id="rId6" w:tgtFrame="_blank" w:history="1">
        <w:r w:rsidRPr="00514485">
          <w:rPr>
            <w:rFonts w:ascii="Times New Roman" w:eastAsia="Times New Roman" w:hAnsi="Times New Roman" w:cs="Times New Roman"/>
            <w:color w:val="0000FF"/>
            <w:sz w:val="24"/>
            <w:szCs w:val="24"/>
            <w:u w:val="single"/>
          </w:rPr>
          <w:t>View PDF</w:t>
        </w:r>
      </w:hyperlink>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Abstract</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The concentration and distribution of Pt and Au in a fluid-melt system has been investigated by reacting the metals with S-free, single-phase aqueous brines (20, 50, 70 </w:t>
      </w:r>
      <w:proofErr w:type="spellStart"/>
      <w:r w:rsidRPr="00514485">
        <w:rPr>
          <w:rFonts w:ascii="Times New Roman" w:eastAsia="Times New Roman" w:hAnsi="Times New Roman" w:cs="Times New Roman"/>
          <w:sz w:val="24"/>
          <w:szCs w:val="24"/>
        </w:rPr>
        <w:t>wt</w:t>
      </w:r>
      <w:proofErr w:type="spellEnd"/>
      <w:r w:rsidRPr="00514485">
        <w:rPr>
          <w:rFonts w:ascii="Times New Roman" w:eastAsia="Times New Roman" w:hAnsi="Times New Roman" w:cs="Times New Roman"/>
          <w:sz w:val="24"/>
          <w:szCs w:val="24"/>
        </w:rPr>
        <w:t xml:space="preserve">% eq. NaCl) ± peraluminous melt at a confining pressure of 1.5 </w:t>
      </w:r>
      <w:proofErr w:type="spellStart"/>
      <w:r w:rsidRPr="00514485">
        <w:rPr>
          <w:rFonts w:ascii="Times New Roman" w:eastAsia="Times New Roman" w:hAnsi="Times New Roman" w:cs="Times New Roman"/>
          <w:sz w:val="24"/>
          <w:szCs w:val="24"/>
        </w:rPr>
        <w:t>kbar</w:t>
      </w:r>
      <w:proofErr w:type="spellEnd"/>
      <w:r w:rsidRPr="00514485">
        <w:rPr>
          <w:rFonts w:ascii="Times New Roman" w:eastAsia="Times New Roman" w:hAnsi="Times New Roman" w:cs="Times New Roman"/>
          <w:sz w:val="24"/>
          <w:szCs w:val="24"/>
        </w:rPr>
        <w:t xml:space="preserve"> and temperatures of 600 to 800 °C, trapping the fluid in synthetic </w:t>
      </w:r>
      <w:hyperlink r:id="rId7" w:tooltip="Learn more about fluid inclusions from ScienceDirect's AI-generated Topic Pages" w:history="1">
        <w:r w:rsidRPr="00514485">
          <w:rPr>
            <w:rFonts w:ascii="Times New Roman" w:eastAsia="Times New Roman" w:hAnsi="Times New Roman" w:cs="Times New Roman"/>
            <w:color w:val="0000FF"/>
            <w:sz w:val="24"/>
            <w:szCs w:val="24"/>
            <w:u w:val="single"/>
          </w:rPr>
          <w:t>fluid inclusions</w:t>
        </w:r>
      </w:hyperlink>
      <w:r w:rsidRPr="00514485">
        <w:rPr>
          <w:rFonts w:ascii="Times New Roman" w:eastAsia="Times New Roman" w:hAnsi="Times New Roman" w:cs="Times New Roman"/>
          <w:sz w:val="24"/>
          <w:szCs w:val="24"/>
        </w:rPr>
        <w:t xml:space="preserve"> (quartz-hosted) and vesicles (silicate melt-hosted), and quantifying the metal content of the trapped fluid and glass by laser ablation ICP-MS. HCl concentration was buffered using the assemblage albite-andalusite-quartz and </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was buffered using the assemblage Ni-</w:t>
      </w:r>
      <w:proofErr w:type="spellStart"/>
      <w:r w:rsidRPr="00514485">
        <w:rPr>
          <w:rFonts w:ascii="Times New Roman" w:eastAsia="Times New Roman" w:hAnsi="Times New Roman" w:cs="Times New Roman"/>
          <w:sz w:val="24"/>
          <w:szCs w:val="24"/>
        </w:rPr>
        <w:t>NiO</w:t>
      </w:r>
      <w:proofErr w:type="spellEnd"/>
      <w:r w:rsidRPr="00514485">
        <w:rPr>
          <w:rFonts w:ascii="Times New Roman" w:eastAsia="Times New Roman" w:hAnsi="Times New Roman" w:cs="Times New Roman"/>
          <w:sz w:val="24"/>
          <w:szCs w:val="24"/>
        </w:rPr>
        <w:t>. Over the range of experimental conditions, measured concentrations of Pt and Au in the brines (</w:t>
      </w:r>
      <w:proofErr w:type="gramStart"/>
      <w:r w:rsidRPr="00514485">
        <w:rPr>
          <w:rFonts w:ascii="Times New Roman" w:eastAsia="Times New Roman" w:hAnsi="Times New Roman" w:cs="Times New Roman"/>
          <w:sz w:val="24"/>
          <w:szCs w:val="24"/>
        </w:rPr>
        <w:t>, )</w:t>
      </w:r>
      <w:proofErr w:type="gramEnd"/>
      <w:r w:rsidRPr="00514485">
        <w:rPr>
          <w:rFonts w:ascii="Times New Roman" w:eastAsia="Times New Roman" w:hAnsi="Times New Roman" w:cs="Times New Roman"/>
          <w:sz w:val="24"/>
          <w:szCs w:val="24"/>
        </w:rPr>
        <w:t xml:space="preserve"> are on </w:t>
      </w:r>
      <w:proofErr w:type="spellStart"/>
      <w:r w:rsidRPr="00514485">
        <w:rPr>
          <w:rFonts w:ascii="Times New Roman" w:eastAsia="Times New Roman" w:hAnsi="Times New Roman" w:cs="Times New Roman"/>
          <w:sz w:val="24"/>
          <w:szCs w:val="24"/>
        </w:rPr>
        <w:t>on</w:t>
      </w:r>
      <w:proofErr w:type="spellEnd"/>
      <w:r w:rsidRPr="00514485">
        <w:rPr>
          <w:rFonts w:ascii="Times New Roman" w:eastAsia="Times New Roman" w:hAnsi="Times New Roman" w:cs="Times New Roman"/>
          <w:sz w:val="24"/>
          <w:szCs w:val="24"/>
        </w:rPr>
        <w:t xml:space="preserve"> the order of 1–10</w:t>
      </w:r>
      <w:r w:rsidRPr="00514485">
        <w:rPr>
          <w:rFonts w:ascii="Times New Roman" w:eastAsia="Times New Roman" w:hAnsi="Times New Roman" w:cs="Times New Roman"/>
          <w:sz w:val="24"/>
          <w:szCs w:val="24"/>
          <w:vertAlign w:val="superscript"/>
        </w:rPr>
        <w:t>3</w:t>
      </w:r>
      <w:r w:rsidRPr="00514485">
        <w:rPr>
          <w:rFonts w:ascii="Times New Roman" w:eastAsia="Times New Roman" w:hAnsi="Times New Roman" w:cs="Times New Roman"/>
          <w:sz w:val="24"/>
          <w:szCs w:val="24"/>
        </w:rPr>
        <w:t xml:space="preserve"> ppm. Concentrations of Pt and Au in the melt (</w:t>
      </w:r>
      <w:proofErr w:type="gramStart"/>
      <w:r w:rsidRPr="00514485">
        <w:rPr>
          <w:rFonts w:ascii="Times New Roman" w:eastAsia="Times New Roman" w:hAnsi="Times New Roman" w:cs="Times New Roman"/>
          <w:sz w:val="24"/>
          <w:szCs w:val="24"/>
        </w:rPr>
        <w:t>, )</w:t>
      </w:r>
      <w:proofErr w:type="gramEnd"/>
      <w:r w:rsidRPr="00514485">
        <w:rPr>
          <w:rFonts w:ascii="Times New Roman" w:eastAsia="Times New Roman" w:hAnsi="Times New Roman" w:cs="Times New Roman"/>
          <w:sz w:val="24"/>
          <w:szCs w:val="24"/>
        </w:rPr>
        <w:t xml:space="preserve"> are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35–100 ppb and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400–1200 ppb, respectively. Nernst </w:t>
      </w:r>
      <w:hyperlink r:id="rId8" w:tooltip="Learn more about partition coefficients from ScienceDirect's AI-generated Topic Pages" w:history="1">
        <w:r w:rsidRPr="00514485">
          <w:rPr>
            <w:rFonts w:ascii="Times New Roman" w:eastAsia="Times New Roman" w:hAnsi="Times New Roman" w:cs="Times New Roman"/>
            <w:color w:val="0000FF"/>
            <w:sz w:val="24"/>
            <w:szCs w:val="24"/>
            <w:u w:val="single"/>
          </w:rPr>
          <w:t>partition coefficients</w:t>
        </w:r>
      </w:hyperlink>
      <w:r w:rsidRPr="00514485">
        <w:rPr>
          <w:rFonts w:ascii="Times New Roman" w:eastAsia="Times New Roman" w:hAnsi="Times New Roman" w:cs="Times New Roman"/>
          <w:sz w:val="24"/>
          <w:szCs w:val="24"/>
        </w:rPr>
        <w:t xml:space="preserve"> (, ) are on the order of 10</w:t>
      </w:r>
      <w:r w:rsidRPr="00514485">
        <w:rPr>
          <w:rFonts w:ascii="Times New Roman" w:eastAsia="Times New Roman" w:hAnsi="Times New Roman" w:cs="Times New Roman"/>
          <w:sz w:val="24"/>
          <w:szCs w:val="24"/>
          <w:vertAlign w:val="superscript"/>
        </w:rPr>
        <w:t>2</w:t>
      </w:r>
      <w:r w:rsidRPr="00514485">
        <w:rPr>
          <w:rFonts w:ascii="Times New Roman" w:eastAsia="Times New Roman" w:hAnsi="Times New Roman" w:cs="Times New Roman"/>
          <w:sz w:val="24"/>
          <w:szCs w:val="24"/>
        </w:rPr>
        <w:t>–10</w:t>
      </w:r>
      <w:r w:rsidRPr="00514485">
        <w:rPr>
          <w:rFonts w:ascii="Times New Roman" w:eastAsia="Times New Roman" w:hAnsi="Times New Roman" w:cs="Times New Roman"/>
          <w:sz w:val="24"/>
          <w:szCs w:val="24"/>
          <w:vertAlign w:val="superscript"/>
        </w:rPr>
        <w:t>3</w:t>
      </w:r>
      <w:r w:rsidRPr="00514485">
        <w:rPr>
          <w:rFonts w:ascii="Times New Roman" w:eastAsia="Times New Roman" w:hAnsi="Times New Roman" w:cs="Times New Roman"/>
          <w:sz w:val="24"/>
          <w:szCs w:val="24"/>
        </w:rPr>
        <w:t xml:space="preserve"> and vary as a function of (non-Henry’s Law behavior). Trapped fluids show a significant range of metal concentrations within populations of inclusions from single experiments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 1 log unit variability for Au;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2–3 log unit variability for Pt). Variability in metal concentration within single inclusion groups is attributed to premature brine entrapment (prior to metal-fluid-melt equilibrium being reached); this allows us to make only minimum estimates of metal solubility using metal concentrations from primary inclusions. The data show two trends: (</w:t>
      </w:r>
      <w:proofErr w:type="spellStart"/>
      <w:r w:rsidRPr="00514485">
        <w:rPr>
          <w:rFonts w:ascii="Times New Roman" w:eastAsia="Times New Roman" w:hAnsi="Times New Roman" w:cs="Times New Roman"/>
          <w:sz w:val="24"/>
          <w:szCs w:val="24"/>
        </w:rPr>
        <w:t>i</w:t>
      </w:r>
      <w:proofErr w:type="spellEnd"/>
      <w:r w:rsidRPr="00514485">
        <w:rPr>
          <w:rFonts w:ascii="Times New Roman" w:eastAsia="Times New Roman" w:hAnsi="Times New Roman" w:cs="Times New Roman"/>
          <w:sz w:val="24"/>
          <w:szCs w:val="24"/>
        </w:rPr>
        <w:t xml:space="preserve">) maximum and average values of and in inclusions </w:t>
      </w:r>
      <w:r w:rsidRPr="00514485">
        <w:rPr>
          <w:rFonts w:ascii="Times New Roman" w:eastAsia="Times New Roman" w:hAnsi="Times New Roman" w:cs="Times New Roman"/>
          <w:i/>
          <w:iCs/>
          <w:sz w:val="24"/>
          <w:szCs w:val="24"/>
        </w:rPr>
        <w:t>decrease</w:t>
      </w:r>
      <w:r w:rsidRPr="00514485">
        <w:rPr>
          <w:rFonts w:ascii="Times New Roman" w:eastAsia="Times New Roman" w:hAnsi="Times New Roman" w:cs="Times New Roman"/>
          <w:sz w:val="24"/>
          <w:szCs w:val="24"/>
        </w:rPr>
        <w:t xml:space="preserve">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2 orders of magnitude as fluid </w:t>
      </w:r>
      <w:hyperlink r:id="rId9" w:tooltip="Learn more about salinity from ScienceDirect's AI-generated Topic Pages" w:history="1">
        <w:r w:rsidRPr="00514485">
          <w:rPr>
            <w:rFonts w:ascii="Times New Roman" w:eastAsia="Times New Roman" w:hAnsi="Times New Roman" w:cs="Times New Roman"/>
            <w:color w:val="0000FF"/>
            <w:sz w:val="24"/>
            <w:szCs w:val="24"/>
            <w:u w:val="single"/>
          </w:rPr>
          <w:t>salinity</w:t>
        </w:r>
      </w:hyperlink>
      <w:r w:rsidRPr="00514485">
        <w:rPr>
          <w:rFonts w:ascii="Times New Roman" w:eastAsia="Times New Roman" w:hAnsi="Times New Roman" w:cs="Times New Roman"/>
          <w:sz w:val="24"/>
          <w:szCs w:val="24"/>
        </w:rPr>
        <w:t xml:space="preserve"> () increases from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4 to 40 </w:t>
      </w:r>
      <w:proofErr w:type="spellStart"/>
      <w:r w:rsidRPr="00514485">
        <w:rPr>
          <w:rFonts w:ascii="Times New Roman" w:eastAsia="Times New Roman" w:hAnsi="Times New Roman" w:cs="Times New Roman"/>
          <w:sz w:val="24"/>
          <w:szCs w:val="24"/>
        </w:rPr>
        <w:t>molal</w:t>
      </w:r>
      <w:proofErr w:type="spellEnd"/>
      <w:r w:rsidRPr="00514485">
        <w:rPr>
          <w:rFonts w:ascii="Times New Roman" w:eastAsia="Times New Roman" w:hAnsi="Times New Roman" w:cs="Times New Roman"/>
          <w:sz w:val="24"/>
          <w:szCs w:val="24"/>
        </w:rPr>
        <w:t xml:space="preserve"> (20 to 70 </w:t>
      </w:r>
      <w:proofErr w:type="spellStart"/>
      <w:r w:rsidRPr="00514485">
        <w:rPr>
          <w:rFonts w:ascii="Times New Roman" w:eastAsia="Times New Roman" w:hAnsi="Times New Roman" w:cs="Times New Roman"/>
          <w:sz w:val="24"/>
          <w:szCs w:val="24"/>
        </w:rPr>
        <w:t>wt</w:t>
      </w:r>
      <w:proofErr w:type="spellEnd"/>
      <w:r w:rsidRPr="00514485">
        <w:rPr>
          <w:rFonts w:ascii="Times New Roman" w:eastAsia="Times New Roman" w:hAnsi="Times New Roman" w:cs="Times New Roman"/>
          <w:sz w:val="24"/>
          <w:szCs w:val="24"/>
        </w:rPr>
        <w:t xml:space="preserve"> % eq. NaCl) at a constant temperature; (ii) maximum and average values of increase approximately 1 order of magnitude for every 100°C increase temperature at a fixed . The observed behavior may be described by the general expression: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where </w:t>
      </w:r>
      <w:r w:rsidRPr="00514485">
        <w:rPr>
          <w:rFonts w:ascii="Times New Roman" w:eastAsia="Times New Roman" w:hAnsi="Times New Roman" w:cs="Times New Roman"/>
          <w:i/>
          <w:iCs/>
          <w:sz w:val="24"/>
          <w:szCs w:val="24"/>
        </w:rPr>
        <w:t>x</w:t>
      </w:r>
      <w:r w:rsidRPr="00514485">
        <w:rPr>
          <w:rFonts w:ascii="Times New Roman" w:eastAsia="Times New Roman" w:hAnsi="Times New Roman" w:cs="Times New Roman"/>
          <w:sz w:val="24"/>
          <w:szCs w:val="24"/>
        </w:rPr>
        <w:t xml:space="preserve"> (slope of the solubility curve) is similar for both Au and Pt (−2), and </w:t>
      </w:r>
      <w:r w:rsidRPr="00514485">
        <w:rPr>
          <w:rFonts w:ascii="Times New Roman" w:eastAsia="Times New Roman" w:hAnsi="Times New Roman" w:cs="Times New Roman"/>
          <w:i/>
          <w:iCs/>
          <w:sz w:val="24"/>
          <w:szCs w:val="24"/>
        </w:rPr>
        <w:t>y</w:t>
      </w:r>
      <w:r w:rsidRPr="00514485">
        <w:rPr>
          <w:rFonts w:ascii="Times New Roman" w:eastAsia="Times New Roman" w:hAnsi="Times New Roman" w:cs="Times New Roman"/>
          <w:sz w:val="24"/>
          <w:szCs w:val="24"/>
        </w:rPr>
        <w:t xml:space="preserve"> increases with increasing T. The strong negative correlation between salinity and metal concentration may result from (</w:t>
      </w:r>
      <w:proofErr w:type="spellStart"/>
      <w:r w:rsidRPr="00514485">
        <w:rPr>
          <w:rFonts w:ascii="Times New Roman" w:eastAsia="Times New Roman" w:hAnsi="Times New Roman" w:cs="Times New Roman"/>
          <w:sz w:val="24"/>
          <w:szCs w:val="24"/>
        </w:rPr>
        <w:t>i</w:t>
      </w:r>
      <w:proofErr w:type="spellEnd"/>
      <w:r w:rsidRPr="00514485">
        <w:rPr>
          <w:rFonts w:ascii="Times New Roman" w:eastAsia="Times New Roman" w:hAnsi="Times New Roman" w:cs="Times New Roman"/>
          <w:sz w:val="24"/>
          <w:szCs w:val="24"/>
        </w:rPr>
        <w:t xml:space="preserve">) the “salting-out” of neutral </w:t>
      </w:r>
      <w:hyperlink r:id="rId10" w:tooltip="Learn more about hydrogen chloride from ScienceDirect's AI-generated Topic Pages" w:history="1">
        <w:r w:rsidRPr="00514485">
          <w:rPr>
            <w:rFonts w:ascii="Times New Roman" w:eastAsia="Times New Roman" w:hAnsi="Times New Roman" w:cs="Times New Roman"/>
            <w:color w:val="0000FF"/>
            <w:sz w:val="24"/>
            <w:szCs w:val="24"/>
            <w:u w:val="single"/>
          </w:rPr>
          <w:t>hydrogen chloride</w:t>
        </w:r>
      </w:hyperlink>
      <w:r w:rsidRPr="00514485">
        <w:rPr>
          <w:rFonts w:ascii="Times New Roman" w:eastAsia="Times New Roman" w:hAnsi="Times New Roman" w:cs="Times New Roman"/>
          <w:sz w:val="24"/>
          <w:szCs w:val="24"/>
        </w:rPr>
        <w:t xml:space="preserve"> complexes [e.g., PtCl</w:t>
      </w:r>
      <w:r w:rsidRPr="00514485">
        <w:rPr>
          <w:rFonts w:ascii="Times New Roman" w:eastAsia="Times New Roman" w:hAnsi="Times New Roman" w:cs="Times New Roman"/>
          <w:sz w:val="24"/>
          <w:szCs w:val="24"/>
          <w:vertAlign w:val="subscript"/>
        </w:rPr>
        <w:t>3</w:t>
      </w:r>
      <w:r w:rsidRPr="00514485">
        <w:rPr>
          <w:rFonts w:ascii="Times New Roman" w:eastAsia="Times New Roman" w:hAnsi="Times New Roman" w:cs="Times New Roman"/>
          <w:sz w:val="24"/>
          <w:szCs w:val="24"/>
        </w:rPr>
        <w:t>H] as NaCl is added to the solution and free 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O is consumed during the production of HCl</w:t>
      </w:r>
      <w:r w:rsidRPr="00514485">
        <w:rPr>
          <w:rFonts w:ascii="Times New Roman" w:eastAsia="Times New Roman" w:hAnsi="Times New Roman" w:cs="Times New Roman"/>
          <w:sz w:val="24"/>
          <w:szCs w:val="24"/>
          <w:vertAlign w:val="superscript"/>
        </w:rPr>
        <w:t>0</w:t>
      </w:r>
      <w:r w:rsidRPr="00514485">
        <w:rPr>
          <w:rFonts w:ascii="Times New Roman" w:eastAsia="Times New Roman" w:hAnsi="Times New Roman" w:cs="Times New Roman"/>
          <w:sz w:val="24"/>
          <w:szCs w:val="24"/>
        </w:rPr>
        <w:t xml:space="preserve"> by the buffer assemblage, or </w:t>
      </w:r>
      <w:r w:rsidRPr="00514485">
        <w:rPr>
          <w:rFonts w:ascii="Times New Roman" w:eastAsia="Times New Roman" w:hAnsi="Times New Roman" w:cs="Times New Roman"/>
          <w:sz w:val="24"/>
          <w:szCs w:val="24"/>
        </w:rPr>
        <w:lastRenderedPageBreak/>
        <w:t>(ii) the consumption of free 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O by the hydration of non-chloride-based metal complexes such as hydroxides [e.g., Pt(OH)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 · (H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O)</w:t>
      </w:r>
      <w:r w:rsidRPr="00514485">
        <w:rPr>
          <w:rFonts w:ascii="Times New Roman" w:eastAsia="Times New Roman" w:hAnsi="Times New Roman" w:cs="Times New Roman"/>
          <w:i/>
          <w:iCs/>
          <w:sz w:val="24"/>
          <w:szCs w:val="24"/>
          <w:vertAlign w:val="subscript"/>
        </w:rPr>
        <w:t>n</w:t>
      </w:r>
      <w:r w:rsidRPr="00514485">
        <w:rPr>
          <w:rFonts w:ascii="Times New Roman" w:eastAsia="Times New Roman" w:hAnsi="Times New Roman" w:cs="Times New Roman"/>
          <w:sz w:val="24"/>
          <w:szCs w:val="24"/>
        </w:rPr>
        <w:t xml:space="preserve">]. The proposed solubility mechanisms would be enhanced if </w:t>
      </w:r>
      <w:hyperlink r:id="rId11" w:tooltip="Learn more about activity coefficients from ScienceDirect's AI-generated Topic Pages" w:history="1">
        <w:r w:rsidRPr="00514485">
          <w:rPr>
            <w:rFonts w:ascii="Times New Roman" w:eastAsia="Times New Roman" w:hAnsi="Times New Roman" w:cs="Times New Roman"/>
            <w:color w:val="0000FF"/>
            <w:sz w:val="24"/>
            <w:szCs w:val="24"/>
            <w:u w:val="single"/>
          </w:rPr>
          <w:t>activity coefficients</w:t>
        </w:r>
      </w:hyperlink>
      <w:r w:rsidRPr="00514485">
        <w:rPr>
          <w:rFonts w:ascii="Times New Roman" w:eastAsia="Times New Roman" w:hAnsi="Times New Roman" w:cs="Times New Roman"/>
          <w:sz w:val="24"/>
          <w:szCs w:val="24"/>
        </w:rPr>
        <w:t xml:space="preserve"> for HCl and/or metal complexes decrease significantly with increasing fluid salinity. Identification of the exact dissolution mechanism at such extreme conditions and confirmation of the equilibrium metal concentrations awaits future study. The results of this pilot study demonstrate that single-phase hypersaline fluids which exsolve from or interact with residual magmatic liquids, partially crystallized rocks, or small volumes of PGE (platinum-group element)-Au-bearing sulfide can potentially dissolve and transport economically-significant amounts of Pt and Au across the magmatic-hydrothermal transition at moderately oxidizing conditions.</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Introduction</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There has been considerable debate about the role played by chloride-bearing hydrothermal fluids in concentrating or redistributing the PGE (platinum-group elements) and Au in mafic igneous systems. Fluid inclusion, alteration, and mineral chemical studies have shown that a continuum of late-stage magmatic, NaCl-rich aqueous brines (up to 95 </w:t>
      </w:r>
      <w:proofErr w:type="spellStart"/>
      <w:r w:rsidRPr="00514485">
        <w:rPr>
          <w:rFonts w:ascii="Times New Roman" w:eastAsia="Times New Roman" w:hAnsi="Times New Roman" w:cs="Times New Roman"/>
          <w:sz w:val="24"/>
          <w:szCs w:val="24"/>
        </w:rPr>
        <w:t>wt</w:t>
      </w:r>
      <w:proofErr w:type="spellEnd"/>
      <w:r w:rsidRPr="00514485">
        <w:rPr>
          <w:rFonts w:ascii="Times New Roman" w:eastAsia="Times New Roman" w:hAnsi="Times New Roman" w:cs="Times New Roman"/>
          <w:sz w:val="24"/>
          <w:szCs w:val="24"/>
        </w:rPr>
        <w:t xml:space="preserve">% eq. NaCl containing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10</w:t>
      </w:r>
      <w:r w:rsidRPr="00514485">
        <w:rPr>
          <w:rFonts w:ascii="Times New Roman" w:eastAsia="Times New Roman" w:hAnsi="Times New Roman" w:cs="Times New Roman"/>
          <w:sz w:val="24"/>
          <w:szCs w:val="24"/>
          <w:vertAlign w:val="superscript"/>
        </w:rPr>
        <w:t>2</w:t>
      </w:r>
      <w:r w:rsidRPr="00514485">
        <w:rPr>
          <w:rFonts w:ascii="Times New Roman" w:eastAsia="Times New Roman" w:hAnsi="Times New Roman" w:cs="Times New Roman"/>
          <w:sz w:val="24"/>
          <w:szCs w:val="24"/>
        </w:rPr>
        <w:t>–10</w:t>
      </w:r>
      <w:r w:rsidRPr="00514485">
        <w:rPr>
          <w:rFonts w:ascii="Times New Roman" w:eastAsia="Times New Roman" w:hAnsi="Times New Roman" w:cs="Times New Roman"/>
          <w:sz w:val="24"/>
          <w:szCs w:val="24"/>
          <w:vertAlign w:val="superscript"/>
        </w:rPr>
        <w:t>3</w:t>
      </w:r>
      <w:r w:rsidRPr="00514485">
        <w:rPr>
          <w:rFonts w:ascii="Times New Roman" w:eastAsia="Times New Roman" w:hAnsi="Times New Roman" w:cs="Times New Roman"/>
          <w:sz w:val="24"/>
          <w:szCs w:val="24"/>
        </w:rPr>
        <w:t xml:space="preserve"> ppm HCl) and lower-salinity hydrothermal fluids were present during the evolution of many large magmatic Ni-Cu-PGE-Au deposits and may have played a role in the deposition or redistribution of the precious metals at, for example, </w:t>
      </w:r>
      <w:r w:rsidRPr="00514485">
        <w:rPr>
          <w:rFonts w:ascii="Times New Roman" w:eastAsia="Times New Roman" w:hAnsi="Times New Roman" w:cs="Times New Roman"/>
          <w:i/>
          <w:iCs/>
          <w:sz w:val="24"/>
          <w:szCs w:val="24"/>
        </w:rPr>
        <w:t>Sudbury</w:t>
      </w:r>
      <w:r w:rsidRPr="00514485">
        <w:rPr>
          <w:rFonts w:ascii="Times New Roman" w:eastAsia="Times New Roman" w:hAnsi="Times New Roman" w:cs="Times New Roman"/>
          <w:sz w:val="24"/>
          <w:szCs w:val="24"/>
        </w:rPr>
        <w:t xml:space="preserve"> (Farrow, 1994; Molnar et al., 2001), the </w:t>
      </w:r>
      <w:r w:rsidRPr="00514485">
        <w:rPr>
          <w:rFonts w:ascii="Times New Roman" w:eastAsia="Times New Roman" w:hAnsi="Times New Roman" w:cs="Times New Roman"/>
          <w:i/>
          <w:iCs/>
          <w:sz w:val="24"/>
          <w:szCs w:val="24"/>
        </w:rPr>
        <w:t>Bushveld Complex</w:t>
      </w:r>
      <w:r w:rsidRPr="00514485">
        <w:rPr>
          <w:rFonts w:ascii="Times New Roman" w:eastAsia="Times New Roman" w:hAnsi="Times New Roman" w:cs="Times New Roman"/>
          <w:sz w:val="24"/>
          <w:szCs w:val="24"/>
        </w:rPr>
        <w:t xml:space="preserve"> (</w:t>
      </w:r>
      <w:proofErr w:type="spellStart"/>
      <w:r w:rsidRPr="00514485">
        <w:rPr>
          <w:rFonts w:ascii="Times New Roman" w:eastAsia="Times New Roman" w:hAnsi="Times New Roman" w:cs="Times New Roman"/>
          <w:sz w:val="24"/>
          <w:szCs w:val="24"/>
        </w:rPr>
        <w:t>Schiffries</w:t>
      </w:r>
      <w:proofErr w:type="spellEnd"/>
      <w:r w:rsidRPr="00514485">
        <w:rPr>
          <w:rFonts w:ascii="Times New Roman" w:eastAsia="Times New Roman" w:hAnsi="Times New Roman" w:cs="Times New Roman"/>
          <w:sz w:val="24"/>
          <w:szCs w:val="24"/>
        </w:rPr>
        <w:t xml:space="preserve">, 1982; Boudreau et al., 1986; </w:t>
      </w:r>
      <w:proofErr w:type="spellStart"/>
      <w:r w:rsidRPr="00514485">
        <w:rPr>
          <w:rFonts w:ascii="Times New Roman" w:eastAsia="Times New Roman" w:hAnsi="Times New Roman" w:cs="Times New Roman"/>
          <w:sz w:val="24"/>
          <w:szCs w:val="24"/>
        </w:rPr>
        <w:t>Ballhaus</w:t>
      </w:r>
      <w:proofErr w:type="spellEnd"/>
      <w:r w:rsidRPr="00514485">
        <w:rPr>
          <w:rFonts w:ascii="Times New Roman" w:eastAsia="Times New Roman" w:hAnsi="Times New Roman" w:cs="Times New Roman"/>
          <w:sz w:val="24"/>
          <w:szCs w:val="24"/>
        </w:rPr>
        <w:t xml:space="preserve"> and </w:t>
      </w:r>
      <w:proofErr w:type="spellStart"/>
      <w:r w:rsidRPr="00514485">
        <w:rPr>
          <w:rFonts w:ascii="Times New Roman" w:eastAsia="Times New Roman" w:hAnsi="Times New Roman" w:cs="Times New Roman"/>
          <w:sz w:val="24"/>
          <w:szCs w:val="24"/>
        </w:rPr>
        <w:t>Stumpfl</w:t>
      </w:r>
      <w:proofErr w:type="spellEnd"/>
      <w:r w:rsidRPr="00514485">
        <w:rPr>
          <w:rFonts w:ascii="Times New Roman" w:eastAsia="Times New Roman" w:hAnsi="Times New Roman" w:cs="Times New Roman"/>
          <w:sz w:val="24"/>
          <w:szCs w:val="24"/>
        </w:rPr>
        <w:t xml:space="preserve">, 1986), and the </w:t>
      </w:r>
      <w:r w:rsidRPr="00514485">
        <w:rPr>
          <w:rFonts w:ascii="Times New Roman" w:eastAsia="Times New Roman" w:hAnsi="Times New Roman" w:cs="Times New Roman"/>
          <w:i/>
          <w:iCs/>
          <w:sz w:val="24"/>
          <w:szCs w:val="24"/>
        </w:rPr>
        <w:t>Stillwater Complex</w:t>
      </w:r>
      <w:r w:rsidRPr="00514485">
        <w:rPr>
          <w:rFonts w:ascii="Times New Roman" w:eastAsia="Times New Roman" w:hAnsi="Times New Roman" w:cs="Times New Roman"/>
          <w:sz w:val="24"/>
          <w:szCs w:val="24"/>
        </w:rPr>
        <w:t xml:space="preserve"> (Boudreau et al., 1986; Boudreau and McCallum, 1986; </w:t>
      </w:r>
      <w:proofErr w:type="spellStart"/>
      <w:r w:rsidRPr="00514485">
        <w:rPr>
          <w:rFonts w:ascii="Times New Roman" w:eastAsia="Times New Roman" w:hAnsi="Times New Roman" w:cs="Times New Roman"/>
          <w:sz w:val="24"/>
          <w:szCs w:val="24"/>
        </w:rPr>
        <w:t>Meurer</w:t>
      </w:r>
      <w:proofErr w:type="spellEnd"/>
      <w:r w:rsidRPr="00514485">
        <w:rPr>
          <w:rFonts w:ascii="Times New Roman" w:eastAsia="Times New Roman" w:hAnsi="Times New Roman" w:cs="Times New Roman"/>
          <w:sz w:val="24"/>
          <w:szCs w:val="24"/>
        </w:rPr>
        <w:t xml:space="preserve"> et al., 1998; Boudreau, 1999).</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While extensive field evidence suggests that saline fluids were important in deposit development, experimental evidence is lacking. The solubility of Pt, Pd, </w:t>
      </w:r>
      <w:proofErr w:type="spellStart"/>
      <w:r w:rsidRPr="00514485">
        <w:rPr>
          <w:rFonts w:ascii="Times New Roman" w:eastAsia="Times New Roman" w:hAnsi="Times New Roman" w:cs="Times New Roman"/>
          <w:sz w:val="24"/>
          <w:szCs w:val="24"/>
        </w:rPr>
        <w:t>Os</w:t>
      </w:r>
      <w:proofErr w:type="spellEnd"/>
      <w:r w:rsidRPr="00514485">
        <w:rPr>
          <w:rFonts w:ascii="Times New Roman" w:eastAsia="Times New Roman" w:hAnsi="Times New Roman" w:cs="Times New Roman"/>
          <w:sz w:val="24"/>
          <w:szCs w:val="24"/>
        </w:rPr>
        <w:t>, and Au in sulfide-bearing solutions, low salinity (up to 3m Cl</w:t>
      </w:r>
      <w:r w:rsidRPr="00514485">
        <w:rPr>
          <w:rFonts w:ascii="Times New Roman" w:eastAsia="Times New Roman" w:hAnsi="Times New Roman" w:cs="Times New Roman"/>
          <w:sz w:val="24"/>
          <w:szCs w:val="24"/>
          <w:vertAlign w:val="superscript"/>
        </w:rPr>
        <w:t>−</w:t>
      </w:r>
      <w:r w:rsidRPr="00514485">
        <w:rPr>
          <w:rFonts w:ascii="Times New Roman" w:eastAsia="Times New Roman" w:hAnsi="Times New Roman" w:cs="Times New Roman"/>
          <w:sz w:val="24"/>
          <w:szCs w:val="24"/>
        </w:rPr>
        <w:t xml:space="preserve">) chloride- and mixed sulfide-chloride-bearing fluids has been studied up to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500°C using a variety of classical hydrothermal experimental methods (e.g., Seward, 1973; </w:t>
      </w:r>
      <w:proofErr w:type="spellStart"/>
      <w:r w:rsidRPr="00514485">
        <w:rPr>
          <w:rFonts w:ascii="Times New Roman" w:eastAsia="Times New Roman" w:hAnsi="Times New Roman" w:cs="Times New Roman"/>
          <w:sz w:val="24"/>
          <w:szCs w:val="24"/>
        </w:rPr>
        <w:t>Shenberger</w:t>
      </w:r>
      <w:proofErr w:type="spellEnd"/>
      <w:r w:rsidRPr="00514485">
        <w:rPr>
          <w:rFonts w:ascii="Times New Roman" w:eastAsia="Times New Roman" w:hAnsi="Times New Roman" w:cs="Times New Roman"/>
          <w:sz w:val="24"/>
          <w:szCs w:val="24"/>
        </w:rPr>
        <w:t xml:space="preserve"> and Barnes, 1989; Gammons et al., 1993; Gammons et al., 1992; Pan and Wood, 1994; Wood et al., 1994; Gammons and Williams-Jones, 1995; </w:t>
      </w:r>
      <w:proofErr w:type="spellStart"/>
      <w:r w:rsidRPr="00514485">
        <w:rPr>
          <w:rFonts w:ascii="Times New Roman" w:eastAsia="Times New Roman" w:hAnsi="Times New Roman" w:cs="Times New Roman"/>
          <w:sz w:val="24"/>
          <w:szCs w:val="24"/>
        </w:rPr>
        <w:t>Gibert</w:t>
      </w:r>
      <w:proofErr w:type="spellEnd"/>
      <w:r w:rsidRPr="00514485">
        <w:rPr>
          <w:rFonts w:ascii="Times New Roman" w:eastAsia="Times New Roman" w:hAnsi="Times New Roman" w:cs="Times New Roman"/>
          <w:sz w:val="24"/>
          <w:szCs w:val="24"/>
        </w:rPr>
        <w:t xml:space="preserve"> et al., 1998; Fleet and Knipe, 2000; </w:t>
      </w:r>
      <w:proofErr w:type="spellStart"/>
      <w:r w:rsidRPr="00514485">
        <w:rPr>
          <w:rFonts w:ascii="Times New Roman" w:eastAsia="Times New Roman" w:hAnsi="Times New Roman" w:cs="Times New Roman"/>
          <w:sz w:val="24"/>
          <w:szCs w:val="24"/>
        </w:rPr>
        <w:t>Xiong</w:t>
      </w:r>
      <w:proofErr w:type="spellEnd"/>
      <w:r w:rsidRPr="00514485">
        <w:rPr>
          <w:rFonts w:ascii="Times New Roman" w:eastAsia="Times New Roman" w:hAnsi="Times New Roman" w:cs="Times New Roman"/>
          <w:sz w:val="24"/>
          <w:szCs w:val="24"/>
        </w:rPr>
        <w:t xml:space="preserve"> and Wood, 2000; Archibald et al., 2001). The results of these studies show that although significant (greater than 10 ppb) hydrothermal Au transport by chloride is possible over a wide range of geologically-realistic conditions, the PGE are significantly soluble as chloride complexes at temperatures less than 500°C only under highly oxidizing, acidic, and saline (</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greater than 1.0 m) conditions and that a lack of low-pH, high- alteration assemblages in any of the deposits listed above makes it unlikely that chloride played any significant role in the remobilization of precious metals at temperatures less than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500°C. However, at higher temperatures where neutral species are expected to predominate in solution, extreme pH and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are suggested to be less critical for significant metal transport by chloride (Wood et al., 1992; Fleet and Wu, 1993). A critical review of all available experimental data for PGE solubility with application to large magmatic Ni-Cu-PGE-Au deposits can be found in a recent summary paper by Wood (2002).</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The role of Cl-bearing, moderate- to high-temperature fluids (greater than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500°C) deposit development has largely been speculative because a very limited amount of experimental solubility data for Au and Pt exists demonstrating adequate control over conditions of </w:t>
      </w:r>
    </w:p>
    <w:p w:rsidR="00514485" w:rsidRPr="00514485" w:rsidRDefault="00514485" w:rsidP="00514485">
      <w:pPr>
        <w:spacing w:after="0"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lastRenderedPageBreak/>
        <w:t>, acidity (), T, P and fluid salinity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Only two studies at T &gt;500°C adequately controlled these parameters (</w:t>
      </w:r>
      <w:proofErr w:type="spellStart"/>
      <w:r w:rsidRPr="00514485">
        <w:rPr>
          <w:rFonts w:ascii="Times New Roman" w:eastAsia="Times New Roman" w:hAnsi="Times New Roman" w:cs="Times New Roman"/>
          <w:sz w:val="24"/>
          <w:szCs w:val="24"/>
        </w:rPr>
        <w:t>Ballhaus</w:t>
      </w:r>
      <w:proofErr w:type="spellEnd"/>
      <w:r w:rsidRPr="00514485">
        <w:rPr>
          <w:rFonts w:ascii="Times New Roman" w:eastAsia="Times New Roman" w:hAnsi="Times New Roman" w:cs="Times New Roman"/>
          <w:sz w:val="24"/>
          <w:szCs w:val="24"/>
        </w:rPr>
        <w:t xml:space="preserve"> et al., 1994; Frank et al., 2002); both studies employed synthetic fluid inclusion methods. The results of these two studies are discussed in a later section for comparison to this study.</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To our knowledge, the present study is the first investigation of Pt solubility and partitioning behavior in S-free, chloride-bearing fluids at temperatures exceeding 500°C in which thermochemical conditions of </w:t>
      </w:r>
    </w:p>
    <w:p w:rsidR="00514485" w:rsidRPr="00514485" w:rsidRDefault="00514485" w:rsidP="00514485">
      <w:pPr>
        <w:spacing w:after="0" w:line="240" w:lineRule="auto"/>
        <w:rPr>
          <w:rFonts w:ascii="Times New Roman" w:eastAsia="Times New Roman" w:hAnsi="Times New Roman" w:cs="Times New Roman"/>
          <w:sz w:val="24"/>
          <w:szCs w:val="24"/>
        </w:rPr>
      </w:pPr>
      <w:proofErr w:type="gramStart"/>
      <w:r w:rsidRPr="00514485">
        <w:rPr>
          <w:rFonts w:ascii="Times New Roman" w:eastAsia="Times New Roman" w:hAnsi="Times New Roman" w:cs="Times New Roman"/>
          <w:sz w:val="24"/>
          <w:szCs w:val="24"/>
        </w:rPr>
        <w:t>, ,</w:t>
      </w:r>
      <w:proofErr w:type="gramEnd"/>
      <w:r w:rsidRPr="00514485">
        <w:rPr>
          <w:rFonts w:ascii="Times New Roman" w:eastAsia="Times New Roman" w:hAnsi="Times New Roman" w:cs="Times New Roman"/>
          <w:sz w:val="24"/>
          <w:szCs w:val="24"/>
        </w:rPr>
        <w:t xml:space="preserve"> , T and P were controlled simultaneously. Our study also extends the range of conditions examined by Frank et al. (2002) in their experimentation on Au solubility. The objectives of this study were (</w:t>
      </w:r>
      <w:proofErr w:type="spellStart"/>
      <w:r w:rsidRPr="00514485">
        <w:rPr>
          <w:rFonts w:ascii="Times New Roman" w:eastAsia="Times New Roman" w:hAnsi="Times New Roman" w:cs="Times New Roman"/>
          <w:sz w:val="24"/>
          <w:szCs w:val="24"/>
        </w:rPr>
        <w:t>i</w:t>
      </w:r>
      <w:proofErr w:type="spellEnd"/>
      <w:r w:rsidRPr="00514485">
        <w:rPr>
          <w:rFonts w:ascii="Times New Roman" w:eastAsia="Times New Roman" w:hAnsi="Times New Roman" w:cs="Times New Roman"/>
          <w:sz w:val="24"/>
          <w:szCs w:val="24"/>
        </w:rPr>
        <w:t xml:space="preserve">) to quantify the distribution of Au and Pt between a silicate melt and hypersaline aqueous fluid (brine) trapped in various types of synthetic fluid inclusions by in situ analysis to assess the usefulness of synthetic inclusion methods in studying precious metal solubility at </w:t>
      </w:r>
      <w:proofErr w:type="spellStart"/>
      <w:r w:rsidRPr="00514485">
        <w:rPr>
          <w:rFonts w:ascii="Times New Roman" w:eastAsia="Times New Roman" w:hAnsi="Times New Roman" w:cs="Times New Roman"/>
          <w:sz w:val="24"/>
          <w:szCs w:val="24"/>
        </w:rPr>
        <w:t>postcumulus</w:t>
      </w:r>
      <w:proofErr w:type="spellEnd"/>
      <w:r w:rsidRPr="00514485">
        <w:rPr>
          <w:rFonts w:ascii="Times New Roman" w:eastAsia="Times New Roman" w:hAnsi="Times New Roman" w:cs="Times New Roman"/>
          <w:sz w:val="24"/>
          <w:szCs w:val="24"/>
        </w:rPr>
        <w:t xml:space="preserve"> conditions, and (ii) to determine the effects of varying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and T on the solubility of Au and Pt in hypersaline fluid and fluid-melt mixtures.</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Section snippets</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Experimental Design</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Fluid inclusions (in quartz) and vesicles (in glass) were synthesized in sealed precious metal capsules placed in cold-seal pressure vessels. The capsule assembly (Fig. 1) consisted of Pt or Au capsules loaded with </w:t>
      </w:r>
      <w:proofErr w:type="spellStart"/>
      <w:r w:rsidRPr="00514485">
        <w:rPr>
          <w:rFonts w:ascii="Times New Roman" w:eastAsia="Times New Roman" w:hAnsi="Times New Roman" w:cs="Times New Roman"/>
          <w:sz w:val="24"/>
          <w:szCs w:val="24"/>
        </w:rPr>
        <w:t>prefractured</w:t>
      </w:r>
      <w:proofErr w:type="spellEnd"/>
      <w:r w:rsidRPr="00514485">
        <w:rPr>
          <w:rFonts w:ascii="Times New Roman" w:eastAsia="Times New Roman" w:hAnsi="Times New Roman" w:cs="Times New Roman"/>
          <w:sz w:val="24"/>
          <w:szCs w:val="24"/>
        </w:rPr>
        <w:t xml:space="preserve"> synthetic quartz cylinders (Hoffman Materials Inc.; heated to 800°C; quenched in cold, demineralized [18Ω-cm] 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 xml:space="preserve">O). Variable amounts of powdered NaCl (−200 mesh, 99.99% purity, Aldrich Chemical Co.) were added to the capsules along with 50 </w:t>
      </w:r>
      <w:proofErr w:type="spellStart"/>
      <w:r w:rsidRPr="00514485">
        <w:rPr>
          <w:rFonts w:ascii="Times New Roman" w:eastAsia="Times New Roman" w:hAnsi="Times New Roman" w:cs="Times New Roman"/>
          <w:sz w:val="24"/>
          <w:szCs w:val="24"/>
        </w:rPr>
        <w:t>μL</w:t>
      </w:r>
      <w:proofErr w:type="spellEnd"/>
      <w:r w:rsidRPr="00514485">
        <w:rPr>
          <w:rFonts w:ascii="Times New Roman" w:eastAsia="Times New Roman" w:hAnsi="Times New Roman" w:cs="Times New Roman"/>
          <w:sz w:val="24"/>
          <w:szCs w:val="24"/>
        </w:rPr>
        <w:t xml:space="preserve"> of demineralized H</w:t>
      </w:r>
      <w:r w:rsidRPr="00514485">
        <w:rPr>
          <w:rFonts w:ascii="Times New Roman" w:eastAsia="Times New Roman" w:hAnsi="Times New Roman" w:cs="Times New Roman"/>
          <w:sz w:val="24"/>
          <w:szCs w:val="24"/>
          <w:vertAlign w:val="subscript"/>
        </w:rPr>
        <w:t>2</w:t>
      </w:r>
      <w:r w:rsidRPr="00514485">
        <w:rPr>
          <w:rFonts w:ascii="Times New Roman" w:eastAsia="Times New Roman" w:hAnsi="Times New Roman" w:cs="Times New Roman"/>
          <w:sz w:val="24"/>
          <w:szCs w:val="24"/>
        </w:rPr>
        <w:t>O in the</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Experimental Products</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The buffer assemblage melted partially during the 800°C experiments to produce a mush of crystals and a small amount of melt (10–15% of the total buffer volume) attached to one end of the quartz cylinder or as thin films within fractures in the quartz (Fig. 3a). The melt, which formed a glass on quench, trapped the immiscible metal-bearing brine phase in vesicles (see below). Petrographic examination and X-ray mapping of the recovered HCl buffer assemblage confirmed that grains (not quench</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Gold and platinum behavior in the melt phase</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Gold concentrations in the glasses are comparable to recent measurements in a </w:t>
      </w:r>
      <w:proofErr w:type="spellStart"/>
      <w:r w:rsidRPr="00514485">
        <w:rPr>
          <w:rFonts w:ascii="Times New Roman" w:eastAsia="Times New Roman" w:hAnsi="Times New Roman" w:cs="Times New Roman"/>
          <w:sz w:val="24"/>
          <w:szCs w:val="24"/>
        </w:rPr>
        <w:t>haplogranitic</w:t>
      </w:r>
      <w:proofErr w:type="spellEnd"/>
      <w:r w:rsidRPr="00514485">
        <w:rPr>
          <w:rFonts w:ascii="Times New Roman" w:eastAsia="Times New Roman" w:hAnsi="Times New Roman" w:cs="Times New Roman"/>
          <w:sz w:val="24"/>
          <w:szCs w:val="24"/>
        </w:rPr>
        <w:t xml:space="preserve"> melt system at similar conditions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 1 ppm; Frank et al., 2002). Platinum concentrations in the glass are </w:t>
      </w:r>
      <w:r w:rsidRPr="00514485">
        <w:rPr>
          <w:rFonts w:ascii="Cambria Math" w:eastAsia="Times New Roman" w:hAnsi="Cambria Math" w:cs="Cambria Math"/>
          <w:sz w:val="24"/>
          <w:szCs w:val="24"/>
        </w:rPr>
        <w:t>∼</w:t>
      </w:r>
      <w:r w:rsidRPr="00514485">
        <w:rPr>
          <w:rFonts w:ascii="Times New Roman" w:eastAsia="Times New Roman" w:hAnsi="Times New Roman" w:cs="Times New Roman"/>
          <w:sz w:val="24"/>
          <w:szCs w:val="24"/>
        </w:rPr>
        <w:t xml:space="preserve"> 1 order of magnitude lower than in a 1400°C basaltic melt at a comparable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lastRenderedPageBreak/>
        <w:t>(Borisov and Palme, 1997). Within single experiments, some variation in metal concentrations within the melt phase was observed. Campbell (1989) and Borisov and Palme (1997) point out that attempts to measure the</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Application</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 xml:space="preserve">Based on the results of this study, the ability of a high-temperature, moderately oxidizing NaCl-rich brine to dissolve both Pt and Au is great enough to deplete these metals from any residual or interstitial silicate melt phase in a layered intrusion; all of the Pt or Au present in a system not saturated in Pt- or Au-bearing minerals or base-metal sulfide should therefore reside in the brine phase. The magnitude of </w:t>
      </w:r>
      <w:proofErr w:type="spellStart"/>
      <w:r w:rsidRPr="00514485">
        <w:rPr>
          <w:rFonts w:ascii="Times New Roman" w:eastAsia="Times New Roman" w:hAnsi="Times New Roman" w:cs="Times New Roman"/>
          <w:i/>
          <w:iCs/>
          <w:sz w:val="24"/>
          <w:szCs w:val="24"/>
        </w:rPr>
        <w:t>D</w:t>
      </w:r>
      <w:r w:rsidRPr="00514485">
        <w:rPr>
          <w:rFonts w:ascii="Times New Roman" w:eastAsia="Times New Roman" w:hAnsi="Times New Roman" w:cs="Times New Roman"/>
          <w:i/>
          <w:iCs/>
          <w:sz w:val="24"/>
          <w:szCs w:val="24"/>
          <w:vertAlign w:val="subscript"/>
        </w:rPr>
        <w:t>metal</w:t>
      </w:r>
      <w:r w:rsidRPr="00514485">
        <w:rPr>
          <w:rFonts w:ascii="Times New Roman" w:eastAsia="Times New Roman" w:hAnsi="Times New Roman" w:cs="Times New Roman"/>
          <w:i/>
          <w:iCs/>
          <w:sz w:val="24"/>
          <w:szCs w:val="24"/>
          <w:vertAlign w:val="superscript"/>
        </w:rPr>
        <w:t>fluid</w:t>
      </w:r>
      <w:proofErr w:type="spellEnd"/>
      <w:r w:rsidRPr="00514485">
        <w:rPr>
          <w:rFonts w:ascii="Times New Roman" w:eastAsia="Times New Roman" w:hAnsi="Times New Roman" w:cs="Times New Roman"/>
          <w:i/>
          <w:iCs/>
          <w:sz w:val="24"/>
          <w:szCs w:val="24"/>
          <w:vertAlign w:val="superscript"/>
        </w:rPr>
        <w:t>/melt</w:t>
      </w:r>
      <w:r w:rsidRPr="00514485">
        <w:rPr>
          <w:rFonts w:ascii="Times New Roman" w:eastAsia="Times New Roman" w:hAnsi="Times New Roman" w:cs="Times New Roman"/>
          <w:sz w:val="24"/>
          <w:szCs w:val="24"/>
        </w:rPr>
        <w:t xml:space="preserve"> depends only on the </w:t>
      </w:r>
      <w:proofErr w:type="spellStart"/>
      <w:r w:rsidRPr="00514485">
        <w:rPr>
          <w:rFonts w:ascii="Times New Roman" w:eastAsia="Times New Roman" w:hAnsi="Times New Roman" w:cs="Times New Roman"/>
          <w:i/>
          <w:iCs/>
          <w:sz w:val="24"/>
          <w:szCs w:val="24"/>
        </w:rPr>
        <w:t>C</w:t>
      </w:r>
      <w:r w:rsidRPr="00514485">
        <w:rPr>
          <w:rFonts w:ascii="Times New Roman" w:eastAsia="Times New Roman" w:hAnsi="Times New Roman" w:cs="Times New Roman"/>
          <w:i/>
          <w:iCs/>
          <w:sz w:val="24"/>
          <w:szCs w:val="24"/>
          <w:vertAlign w:val="subscript"/>
        </w:rPr>
        <w:t>metal</w:t>
      </w:r>
      <w:r w:rsidRPr="00514485">
        <w:rPr>
          <w:rFonts w:ascii="Times New Roman" w:eastAsia="Times New Roman" w:hAnsi="Times New Roman" w:cs="Times New Roman"/>
          <w:i/>
          <w:iCs/>
          <w:sz w:val="24"/>
          <w:szCs w:val="24"/>
          <w:vertAlign w:val="superscript"/>
        </w:rPr>
        <w:t>fluid</w:t>
      </w:r>
      <w:proofErr w:type="spellEnd"/>
      <w:r w:rsidRPr="00514485">
        <w:rPr>
          <w:rFonts w:ascii="Times New Roman" w:eastAsia="Times New Roman" w:hAnsi="Times New Roman" w:cs="Times New Roman"/>
          <w:sz w:val="24"/>
          <w:szCs w:val="24"/>
        </w:rPr>
        <w:t>, which in turn is controlled</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Conclusions</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This study has shown that high-T, high-salinity aqueous brines may contain very high concentrations (up to 10</w:t>
      </w:r>
      <w:r w:rsidRPr="00514485">
        <w:rPr>
          <w:rFonts w:ascii="Times New Roman" w:eastAsia="Times New Roman" w:hAnsi="Times New Roman" w:cs="Times New Roman"/>
          <w:sz w:val="24"/>
          <w:szCs w:val="24"/>
          <w:vertAlign w:val="superscript"/>
        </w:rPr>
        <w:t>3</w:t>
      </w:r>
      <w:r w:rsidRPr="00514485">
        <w:rPr>
          <w:rFonts w:ascii="Times New Roman" w:eastAsia="Times New Roman" w:hAnsi="Times New Roman" w:cs="Times New Roman"/>
          <w:sz w:val="24"/>
          <w:szCs w:val="24"/>
        </w:rPr>
        <w:t xml:space="preserve"> ppm) of </w:t>
      </w:r>
      <w:r w:rsidRPr="00514485">
        <w:rPr>
          <w:rFonts w:ascii="Times New Roman" w:eastAsia="Times New Roman" w:hAnsi="Times New Roman" w:cs="Times New Roman"/>
          <w:i/>
          <w:iCs/>
          <w:sz w:val="24"/>
          <w:szCs w:val="24"/>
        </w:rPr>
        <w:t>both</w:t>
      </w:r>
      <w:r w:rsidRPr="00514485">
        <w:rPr>
          <w:rFonts w:ascii="Times New Roman" w:eastAsia="Times New Roman" w:hAnsi="Times New Roman" w:cs="Times New Roman"/>
          <w:sz w:val="24"/>
          <w:szCs w:val="24"/>
        </w:rPr>
        <w:t xml:space="preserve"> Au and Pt at geologically-realistic </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values, independent of the concentration of S-bearing ligands. The concentrations of Au and Pt observed in synthetic fluid inclusions and vesicles are considerably variable at a single, controlled thermochemical condition; this result agrees well with similar studies and may be attributed to the premature sampling of fluids prior to</w:t>
      </w:r>
    </w:p>
    <w:p w:rsidR="00514485" w:rsidRPr="00514485" w:rsidRDefault="00514485" w:rsidP="00514485">
      <w:pPr>
        <w:spacing w:before="100" w:beforeAutospacing="1" w:after="100" w:afterAutospacing="1" w:line="240" w:lineRule="auto"/>
        <w:outlineLvl w:val="1"/>
        <w:rPr>
          <w:rFonts w:ascii="Times New Roman" w:eastAsia="Times New Roman" w:hAnsi="Times New Roman" w:cs="Times New Roman"/>
          <w:b/>
          <w:bCs/>
          <w:sz w:val="36"/>
          <w:szCs w:val="36"/>
        </w:rPr>
      </w:pPr>
      <w:r w:rsidRPr="00514485">
        <w:rPr>
          <w:rFonts w:ascii="Times New Roman" w:eastAsia="Times New Roman" w:hAnsi="Times New Roman" w:cs="Times New Roman"/>
          <w:b/>
          <w:bCs/>
          <w:sz w:val="36"/>
          <w:szCs w:val="36"/>
        </w:rPr>
        <w:t>Acknowledgments</w:t>
      </w:r>
    </w:p>
    <w:p w:rsidR="00514485" w:rsidRPr="00514485" w:rsidRDefault="00514485" w:rsidP="00514485">
      <w:pPr>
        <w:spacing w:before="100" w:beforeAutospacing="1" w:after="100" w:afterAutospacing="1" w:line="240" w:lineRule="auto"/>
        <w:rPr>
          <w:rFonts w:ascii="Times New Roman" w:eastAsia="Times New Roman" w:hAnsi="Times New Roman" w:cs="Times New Roman"/>
          <w:sz w:val="24"/>
          <w:szCs w:val="24"/>
        </w:rPr>
      </w:pPr>
      <w:r w:rsidRPr="00514485">
        <w:rPr>
          <w:rFonts w:ascii="Times New Roman" w:eastAsia="Times New Roman" w:hAnsi="Times New Roman" w:cs="Times New Roman"/>
          <w:sz w:val="24"/>
          <w:szCs w:val="24"/>
        </w:rPr>
        <w:t>The authors wish to thank NSERC and PREA grants awarded to J.M. to complete the experimental and analytical work. Support for J.H. came in the form of an NSERC Postgraduate Scholarship. The Swiss National Science Foundation is acknowledged for financial support of the LA-ICP-MS facility at ETH Zurich. The manuscript was significantly improved through careful reviews by M. Frank, S. Wood and an anonymous GCA reviewer.</w:t>
      </w:r>
    </w:p>
    <w:p w:rsidR="003440EC" w:rsidRDefault="003440EC"/>
    <w:sectPr w:rsidR="003440E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485"/>
    <w:rsid w:val="003440EC"/>
    <w:rsid w:val="00514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B189C"/>
  <w15:chartTrackingRefBased/>
  <w15:docId w15:val="{0D834989-DD3C-45CC-9709-856BEA588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5586764">
      <w:bodyDiv w:val="1"/>
      <w:marLeft w:val="0"/>
      <w:marRight w:val="0"/>
      <w:marTop w:val="0"/>
      <w:marBottom w:val="0"/>
      <w:divBdr>
        <w:top w:val="none" w:sz="0" w:space="0" w:color="auto"/>
        <w:left w:val="none" w:sz="0" w:space="0" w:color="auto"/>
        <w:bottom w:val="none" w:sz="0" w:space="0" w:color="auto"/>
        <w:right w:val="none" w:sz="0" w:space="0" w:color="auto"/>
      </w:divBdr>
      <w:divsChild>
        <w:div w:id="992022029">
          <w:marLeft w:val="0"/>
          <w:marRight w:val="0"/>
          <w:marTop w:val="0"/>
          <w:marBottom w:val="0"/>
          <w:divBdr>
            <w:top w:val="none" w:sz="0" w:space="0" w:color="auto"/>
            <w:left w:val="none" w:sz="0" w:space="0" w:color="auto"/>
            <w:bottom w:val="none" w:sz="0" w:space="0" w:color="auto"/>
            <w:right w:val="none" w:sz="0" w:space="0" w:color="auto"/>
          </w:divBdr>
          <w:divsChild>
            <w:div w:id="200091309">
              <w:marLeft w:val="0"/>
              <w:marRight w:val="0"/>
              <w:marTop w:val="0"/>
              <w:marBottom w:val="0"/>
              <w:divBdr>
                <w:top w:val="none" w:sz="0" w:space="0" w:color="auto"/>
                <w:left w:val="none" w:sz="0" w:space="0" w:color="auto"/>
                <w:bottom w:val="none" w:sz="0" w:space="0" w:color="auto"/>
                <w:right w:val="none" w:sz="0" w:space="0" w:color="auto"/>
              </w:divBdr>
              <w:divsChild>
                <w:div w:id="966159781">
                  <w:marLeft w:val="0"/>
                  <w:marRight w:val="0"/>
                  <w:marTop w:val="0"/>
                  <w:marBottom w:val="0"/>
                  <w:divBdr>
                    <w:top w:val="none" w:sz="0" w:space="0" w:color="auto"/>
                    <w:left w:val="none" w:sz="0" w:space="0" w:color="auto"/>
                    <w:bottom w:val="none" w:sz="0" w:space="0" w:color="auto"/>
                    <w:right w:val="none" w:sz="0" w:space="0" w:color="auto"/>
                  </w:divBdr>
                  <w:divsChild>
                    <w:div w:id="114107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498498">
          <w:marLeft w:val="0"/>
          <w:marRight w:val="0"/>
          <w:marTop w:val="0"/>
          <w:marBottom w:val="0"/>
          <w:divBdr>
            <w:top w:val="none" w:sz="0" w:space="0" w:color="auto"/>
            <w:left w:val="none" w:sz="0" w:space="0" w:color="auto"/>
            <w:bottom w:val="none" w:sz="0" w:space="0" w:color="auto"/>
            <w:right w:val="none" w:sz="0" w:space="0" w:color="auto"/>
          </w:divBdr>
          <w:divsChild>
            <w:div w:id="68237065">
              <w:marLeft w:val="0"/>
              <w:marRight w:val="0"/>
              <w:marTop w:val="0"/>
              <w:marBottom w:val="0"/>
              <w:divBdr>
                <w:top w:val="none" w:sz="0" w:space="0" w:color="auto"/>
                <w:left w:val="none" w:sz="0" w:space="0" w:color="auto"/>
                <w:bottom w:val="none" w:sz="0" w:space="0" w:color="auto"/>
                <w:right w:val="none" w:sz="0" w:space="0" w:color="auto"/>
              </w:divBdr>
            </w:div>
            <w:div w:id="846216768">
              <w:marLeft w:val="0"/>
              <w:marRight w:val="0"/>
              <w:marTop w:val="0"/>
              <w:marBottom w:val="0"/>
              <w:divBdr>
                <w:top w:val="none" w:sz="0" w:space="0" w:color="auto"/>
                <w:left w:val="none" w:sz="0" w:space="0" w:color="auto"/>
                <w:bottom w:val="none" w:sz="0" w:space="0" w:color="auto"/>
                <w:right w:val="none" w:sz="0" w:space="0" w:color="auto"/>
              </w:divBdr>
              <w:divsChild>
                <w:div w:id="1958171201">
                  <w:marLeft w:val="0"/>
                  <w:marRight w:val="0"/>
                  <w:marTop w:val="0"/>
                  <w:marBottom w:val="0"/>
                  <w:divBdr>
                    <w:top w:val="none" w:sz="0" w:space="0" w:color="auto"/>
                    <w:left w:val="none" w:sz="0" w:space="0" w:color="auto"/>
                    <w:bottom w:val="none" w:sz="0" w:space="0" w:color="auto"/>
                    <w:right w:val="none" w:sz="0" w:space="0" w:color="auto"/>
                  </w:divBdr>
                </w:div>
                <w:div w:id="514732304">
                  <w:marLeft w:val="0"/>
                  <w:marRight w:val="0"/>
                  <w:marTop w:val="0"/>
                  <w:marBottom w:val="0"/>
                  <w:divBdr>
                    <w:top w:val="none" w:sz="0" w:space="0" w:color="auto"/>
                    <w:left w:val="none" w:sz="0" w:space="0" w:color="auto"/>
                    <w:bottom w:val="none" w:sz="0" w:space="0" w:color="auto"/>
                    <w:right w:val="none" w:sz="0" w:space="0" w:color="auto"/>
                  </w:divBdr>
                </w:div>
                <w:div w:id="135924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304524">
          <w:marLeft w:val="0"/>
          <w:marRight w:val="0"/>
          <w:marTop w:val="0"/>
          <w:marBottom w:val="0"/>
          <w:divBdr>
            <w:top w:val="none" w:sz="0" w:space="0" w:color="auto"/>
            <w:left w:val="none" w:sz="0" w:space="0" w:color="auto"/>
            <w:bottom w:val="none" w:sz="0" w:space="0" w:color="auto"/>
            <w:right w:val="none" w:sz="0" w:space="0" w:color="auto"/>
          </w:divBdr>
          <w:divsChild>
            <w:div w:id="298196637">
              <w:marLeft w:val="0"/>
              <w:marRight w:val="0"/>
              <w:marTop w:val="0"/>
              <w:marBottom w:val="0"/>
              <w:divBdr>
                <w:top w:val="none" w:sz="0" w:space="0" w:color="auto"/>
                <w:left w:val="none" w:sz="0" w:space="0" w:color="auto"/>
                <w:bottom w:val="none" w:sz="0" w:space="0" w:color="auto"/>
                <w:right w:val="none" w:sz="0" w:space="0" w:color="auto"/>
              </w:divBdr>
            </w:div>
          </w:divsChild>
        </w:div>
        <w:div w:id="1716587311">
          <w:marLeft w:val="0"/>
          <w:marRight w:val="0"/>
          <w:marTop w:val="0"/>
          <w:marBottom w:val="0"/>
          <w:divBdr>
            <w:top w:val="none" w:sz="0" w:space="0" w:color="auto"/>
            <w:left w:val="none" w:sz="0" w:space="0" w:color="auto"/>
            <w:bottom w:val="none" w:sz="0" w:space="0" w:color="auto"/>
            <w:right w:val="none" w:sz="0" w:space="0" w:color="auto"/>
          </w:divBdr>
          <w:divsChild>
            <w:div w:id="687752299">
              <w:marLeft w:val="0"/>
              <w:marRight w:val="0"/>
              <w:marTop w:val="0"/>
              <w:marBottom w:val="0"/>
              <w:divBdr>
                <w:top w:val="none" w:sz="0" w:space="0" w:color="auto"/>
                <w:left w:val="none" w:sz="0" w:space="0" w:color="auto"/>
                <w:bottom w:val="none" w:sz="0" w:space="0" w:color="auto"/>
                <w:right w:val="none" w:sz="0" w:space="0" w:color="auto"/>
              </w:divBdr>
              <w:divsChild>
                <w:div w:id="1143348867">
                  <w:marLeft w:val="0"/>
                  <w:marRight w:val="0"/>
                  <w:marTop w:val="0"/>
                  <w:marBottom w:val="0"/>
                  <w:divBdr>
                    <w:top w:val="none" w:sz="0" w:space="0" w:color="auto"/>
                    <w:left w:val="none" w:sz="0" w:space="0" w:color="auto"/>
                    <w:bottom w:val="none" w:sz="0" w:space="0" w:color="auto"/>
                    <w:right w:val="none" w:sz="0" w:space="0" w:color="auto"/>
                  </w:divBdr>
                  <w:divsChild>
                    <w:div w:id="93991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656131">
          <w:marLeft w:val="0"/>
          <w:marRight w:val="0"/>
          <w:marTop w:val="0"/>
          <w:marBottom w:val="0"/>
          <w:divBdr>
            <w:top w:val="none" w:sz="0" w:space="0" w:color="auto"/>
            <w:left w:val="none" w:sz="0" w:space="0" w:color="auto"/>
            <w:bottom w:val="none" w:sz="0" w:space="0" w:color="auto"/>
            <w:right w:val="none" w:sz="0" w:space="0" w:color="auto"/>
          </w:divBdr>
          <w:divsChild>
            <w:div w:id="1772315633">
              <w:marLeft w:val="0"/>
              <w:marRight w:val="0"/>
              <w:marTop w:val="0"/>
              <w:marBottom w:val="0"/>
              <w:divBdr>
                <w:top w:val="none" w:sz="0" w:space="0" w:color="auto"/>
                <w:left w:val="none" w:sz="0" w:space="0" w:color="auto"/>
                <w:bottom w:val="none" w:sz="0" w:space="0" w:color="auto"/>
                <w:right w:val="none" w:sz="0" w:space="0" w:color="auto"/>
              </w:divBdr>
              <w:divsChild>
                <w:div w:id="1675719224">
                  <w:marLeft w:val="0"/>
                  <w:marRight w:val="0"/>
                  <w:marTop w:val="0"/>
                  <w:marBottom w:val="0"/>
                  <w:divBdr>
                    <w:top w:val="none" w:sz="0" w:space="0" w:color="auto"/>
                    <w:left w:val="none" w:sz="0" w:space="0" w:color="auto"/>
                    <w:bottom w:val="none" w:sz="0" w:space="0" w:color="auto"/>
                    <w:right w:val="none" w:sz="0" w:space="0" w:color="auto"/>
                  </w:divBdr>
                  <w:divsChild>
                    <w:div w:id="13946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163375">
          <w:marLeft w:val="0"/>
          <w:marRight w:val="0"/>
          <w:marTop w:val="0"/>
          <w:marBottom w:val="0"/>
          <w:divBdr>
            <w:top w:val="none" w:sz="0" w:space="0" w:color="auto"/>
            <w:left w:val="none" w:sz="0" w:space="0" w:color="auto"/>
            <w:bottom w:val="none" w:sz="0" w:space="0" w:color="auto"/>
            <w:right w:val="none" w:sz="0" w:space="0" w:color="auto"/>
          </w:divBdr>
          <w:divsChild>
            <w:div w:id="1976064774">
              <w:marLeft w:val="0"/>
              <w:marRight w:val="0"/>
              <w:marTop w:val="0"/>
              <w:marBottom w:val="0"/>
              <w:divBdr>
                <w:top w:val="none" w:sz="0" w:space="0" w:color="auto"/>
                <w:left w:val="none" w:sz="0" w:space="0" w:color="auto"/>
                <w:bottom w:val="none" w:sz="0" w:space="0" w:color="auto"/>
                <w:right w:val="none" w:sz="0" w:space="0" w:color="auto"/>
              </w:divBdr>
            </w:div>
          </w:divsChild>
        </w:div>
        <w:div w:id="2077389804">
          <w:marLeft w:val="0"/>
          <w:marRight w:val="0"/>
          <w:marTop w:val="0"/>
          <w:marBottom w:val="0"/>
          <w:divBdr>
            <w:top w:val="none" w:sz="0" w:space="0" w:color="auto"/>
            <w:left w:val="none" w:sz="0" w:space="0" w:color="auto"/>
            <w:bottom w:val="none" w:sz="0" w:space="0" w:color="auto"/>
            <w:right w:val="none" w:sz="0" w:space="0" w:color="auto"/>
          </w:divBdr>
          <w:divsChild>
            <w:div w:id="1897472566">
              <w:marLeft w:val="0"/>
              <w:marRight w:val="0"/>
              <w:marTop w:val="0"/>
              <w:marBottom w:val="0"/>
              <w:divBdr>
                <w:top w:val="none" w:sz="0" w:space="0" w:color="auto"/>
                <w:left w:val="none" w:sz="0" w:space="0" w:color="auto"/>
                <w:bottom w:val="none" w:sz="0" w:space="0" w:color="auto"/>
                <w:right w:val="none" w:sz="0" w:space="0" w:color="auto"/>
              </w:divBdr>
            </w:div>
          </w:divsChild>
        </w:div>
        <w:div w:id="1808013513">
          <w:marLeft w:val="0"/>
          <w:marRight w:val="0"/>
          <w:marTop w:val="0"/>
          <w:marBottom w:val="0"/>
          <w:divBdr>
            <w:top w:val="none" w:sz="0" w:space="0" w:color="auto"/>
            <w:left w:val="none" w:sz="0" w:space="0" w:color="auto"/>
            <w:bottom w:val="none" w:sz="0" w:space="0" w:color="auto"/>
            <w:right w:val="none" w:sz="0" w:space="0" w:color="auto"/>
          </w:divBdr>
          <w:divsChild>
            <w:div w:id="145617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artition-coefficient"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fluid-inclusion"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science/article/pii/S0016703705008124/pdfft?md5=350ed2007991cbf4c3dc31f1fb5e76d0&amp;pid=1-s2.0-S0016703705008124-main.pdf" TargetMode="External"/><Relationship Id="rId11" Type="http://schemas.openxmlformats.org/officeDocument/2006/relationships/hyperlink" Target="https://www.sciencedirect.com/topics/earth-and-planetary-sciences/activity-coefficient" TargetMode="External"/><Relationship Id="rId5" Type="http://schemas.openxmlformats.org/officeDocument/2006/relationships/hyperlink" Target="https://www.sciencedirect.com/science/article/pii/S0016703705008124" TargetMode="External"/><Relationship Id="rId10" Type="http://schemas.openxmlformats.org/officeDocument/2006/relationships/hyperlink" Target="https://www.sciencedirect.com/topics/earth-and-planetary-sciences/hydrogen-chloride" TargetMode="External"/><Relationship Id="rId4" Type="http://schemas.openxmlformats.org/officeDocument/2006/relationships/hyperlink" Target="https://doi.org/10.1016/j.gca.2004.11.005" TargetMode="External"/><Relationship Id="rId9" Type="http://schemas.openxmlformats.org/officeDocument/2006/relationships/hyperlink" Target="https://www.sciencedirect.com/topics/earth-and-planetary-sciences/salin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1833</Words>
  <Characters>10451</Characters>
  <Application>Microsoft Office Word</Application>
  <DocSecurity>0</DocSecurity>
  <Lines>87</Lines>
  <Paragraphs>24</Paragraphs>
  <ScaleCrop>false</ScaleCrop>
  <Company/>
  <LinksUpToDate>false</LinksUpToDate>
  <CharactersWithSpaces>12260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2023-12-30T02:56:00Z</dcterms:created>
  <dcterms:modified xsi:type="dcterms:W3CDTF">2023-12-30T02:58:00Z</dcterms:modified>
</cp:coreProperties>
</file>