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436A9" w:rsidRPr="006436A9" w:rsidRDefault="006436A9" w:rsidP="006436A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436A9">
        <w:rPr>
          <w:rFonts w:ascii="Times New Roman" w:eastAsia="Times New Roman" w:hAnsi="Times New Roman" w:cs="Times New Roman"/>
          <w:b/>
          <w:bCs/>
          <w:kern w:val="36"/>
          <w:sz w:val="48"/>
          <w:szCs w:val="48"/>
        </w:rPr>
        <w:t>Stable carbon isotopes in freshwater mussel shells: Environmental record or marker for metabolic activity?</w:t>
      </w:r>
    </w:p>
    <w:p w:rsidR="006436A9" w:rsidRPr="006436A9" w:rsidRDefault="006436A9" w:rsidP="006436A9">
      <w:pPr>
        <w:spacing w:after="0"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 xml:space="preserve">Author links open overlay </w:t>
      </w:r>
      <w:proofErr w:type="spellStart"/>
      <w:r w:rsidRPr="006436A9">
        <w:rPr>
          <w:rFonts w:ascii="Times New Roman" w:eastAsia="Times New Roman" w:hAnsi="Times New Roman" w:cs="Times New Roman"/>
          <w:sz w:val="24"/>
          <w:szCs w:val="24"/>
        </w:rPr>
        <w:t>panel</w:t>
      </w:r>
      <w:bookmarkStart w:id="0" w:name="baep-author-id10-profile"/>
      <w:r w:rsidRPr="006436A9">
        <w:rPr>
          <w:rFonts w:ascii="Times New Roman" w:eastAsia="Times New Roman" w:hAnsi="Times New Roman" w:cs="Times New Roman"/>
          <w:sz w:val="24"/>
          <w:szCs w:val="24"/>
        </w:rPr>
        <w:fldChar w:fldCharType="begin"/>
      </w:r>
      <w:r w:rsidRPr="006436A9">
        <w:rPr>
          <w:rFonts w:ascii="Times New Roman" w:eastAsia="Times New Roman" w:hAnsi="Times New Roman" w:cs="Times New Roman"/>
          <w:sz w:val="24"/>
          <w:szCs w:val="24"/>
        </w:rPr>
        <w:instrText xml:space="preserve"> HYPERLINK "https://www.sciencedirect.com/author/7006819886/juergen-geist" </w:instrText>
      </w:r>
      <w:r w:rsidRPr="006436A9">
        <w:rPr>
          <w:rFonts w:ascii="Times New Roman" w:eastAsia="Times New Roman" w:hAnsi="Times New Roman" w:cs="Times New Roman"/>
          <w:sz w:val="24"/>
          <w:szCs w:val="24"/>
        </w:rPr>
        <w:fldChar w:fldCharType="separate"/>
      </w:r>
      <w:r w:rsidRPr="006436A9">
        <w:rPr>
          <w:rFonts w:ascii="Times New Roman" w:eastAsia="Times New Roman" w:hAnsi="Times New Roman" w:cs="Times New Roman"/>
          <w:color w:val="0000FF"/>
          <w:sz w:val="24"/>
          <w:szCs w:val="24"/>
          <w:u w:val="single"/>
        </w:rPr>
        <w:t>Juergen</w:t>
      </w:r>
      <w:proofErr w:type="spellEnd"/>
      <w:r w:rsidRPr="006436A9">
        <w:rPr>
          <w:rFonts w:ascii="Times New Roman" w:eastAsia="Times New Roman" w:hAnsi="Times New Roman" w:cs="Times New Roman"/>
          <w:color w:val="0000FF"/>
          <w:sz w:val="24"/>
          <w:szCs w:val="24"/>
          <w:u w:val="single"/>
        </w:rPr>
        <w:t xml:space="preserve"> Geist </w:t>
      </w:r>
      <w:r w:rsidRPr="006436A9">
        <w:rPr>
          <w:rFonts w:ascii="Times New Roman" w:eastAsia="Times New Roman" w:hAnsi="Times New Roman" w:cs="Times New Roman"/>
          <w:color w:val="0000FF"/>
          <w:sz w:val="24"/>
          <w:szCs w:val="24"/>
          <w:u w:val="single"/>
          <w:vertAlign w:val="superscript"/>
        </w:rPr>
        <w:t>1</w:t>
      </w:r>
      <w:r w:rsidRPr="006436A9">
        <w:rPr>
          <w:rFonts w:ascii="Times New Roman" w:eastAsia="Times New Roman" w:hAnsi="Times New Roman" w:cs="Times New Roman"/>
          <w:sz w:val="24"/>
          <w:szCs w:val="24"/>
        </w:rPr>
        <w:fldChar w:fldCharType="end"/>
      </w:r>
      <w:bookmarkEnd w:id="0"/>
    </w:p>
    <w:p w:rsidR="006436A9" w:rsidRPr="006436A9" w:rsidRDefault="006436A9" w:rsidP="006436A9">
      <w:pPr>
        <w:spacing w:after="0"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 xml:space="preserve">, , </w:t>
      </w:r>
    </w:p>
    <w:p w:rsidR="006436A9" w:rsidRPr="006436A9" w:rsidRDefault="006436A9" w:rsidP="006436A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436A9">
          <w:rPr>
            <w:rFonts w:ascii="Times New Roman" w:eastAsia="Times New Roman" w:hAnsi="Times New Roman" w:cs="Times New Roman"/>
            <w:color w:val="0000FF"/>
            <w:sz w:val="24"/>
            <w:szCs w:val="24"/>
            <w:u w:val="single"/>
          </w:rPr>
          <w:t>https://doi.org/10.1016/j.gca.2005.03.010</w:t>
        </w:r>
      </w:hyperlink>
      <w:bookmarkStart w:id="1" w:name="_GoBack"/>
      <w:bookmarkEnd w:id="1"/>
      <w:r w:rsidRPr="006436A9">
        <w:rPr>
          <w:rFonts w:ascii="Times New Roman" w:eastAsia="Times New Roman" w:hAnsi="Times New Roman" w:cs="Times New Roman"/>
          <w:sz w:val="24"/>
          <w:szCs w:val="24"/>
        </w:rPr>
        <w:t xml:space="preserve"> </w:t>
      </w:r>
    </w:p>
    <w:p w:rsidR="006436A9" w:rsidRPr="006436A9" w:rsidRDefault="006436A9" w:rsidP="006436A9">
      <w:pPr>
        <w:spacing w:before="100" w:beforeAutospacing="1" w:after="100" w:afterAutospacing="1" w:line="240" w:lineRule="auto"/>
        <w:outlineLvl w:val="1"/>
        <w:rPr>
          <w:rFonts w:ascii="Times New Roman" w:eastAsia="Times New Roman" w:hAnsi="Times New Roman" w:cs="Times New Roman"/>
          <w:b/>
          <w:bCs/>
          <w:sz w:val="36"/>
          <w:szCs w:val="36"/>
        </w:rPr>
      </w:pPr>
      <w:r w:rsidRPr="006436A9">
        <w:rPr>
          <w:rFonts w:ascii="Times New Roman" w:eastAsia="Times New Roman" w:hAnsi="Times New Roman" w:cs="Times New Roman"/>
          <w:b/>
          <w:bCs/>
          <w:sz w:val="36"/>
          <w:szCs w:val="36"/>
        </w:rPr>
        <w:t>Abstract</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 xml:space="preserve">Mussel shells have been used in a number of </w:t>
      </w:r>
      <w:proofErr w:type="spellStart"/>
      <w:r w:rsidRPr="006436A9">
        <w:rPr>
          <w:rFonts w:ascii="Times New Roman" w:eastAsia="Times New Roman" w:hAnsi="Times New Roman" w:cs="Times New Roman"/>
          <w:sz w:val="24"/>
          <w:szCs w:val="24"/>
        </w:rPr>
        <w:t>paleoecological</w:t>
      </w:r>
      <w:proofErr w:type="spellEnd"/>
      <w:r w:rsidRPr="006436A9">
        <w:rPr>
          <w:rFonts w:ascii="Times New Roman" w:eastAsia="Times New Roman" w:hAnsi="Times New Roman" w:cs="Times New Roman"/>
          <w:sz w:val="24"/>
          <w:szCs w:val="24"/>
        </w:rPr>
        <w:t xml:space="preserve"> and environmental studies. The interpretation of stable carbon </w:t>
      </w:r>
      <w:hyperlink r:id="rId5" w:tooltip="Learn more about isotopic composition from ScienceDirect's AI-generated Topic Pages" w:history="1">
        <w:r w:rsidRPr="006436A9">
          <w:rPr>
            <w:rFonts w:ascii="Times New Roman" w:eastAsia="Times New Roman" w:hAnsi="Times New Roman" w:cs="Times New Roman"/>
            <w:color w:val="0000FF"/>
            <w:sz w:val="24"/>
            <w:szCs w:val="24"/>
            <w:u w:val="single"/>
          </w:rPr>
          <w:t>isotopic composition</w:t>
        </w:r>
      </w:hyperlink>
      <w:r w:rsidRPr="006436A9">
        <w:rPr>
          <w:rFonts w:ascii="Times New Roman" w:eastAsia="Times New Roman" w:hAnsi="Times New Roman" w:cs="Times New Roman"/>
          <w:sz w:val="24"/>
          <w:szCs w:val="24"/>
        </w:rPr>
        <w:t xml:space="preserve"> of shell material is still controversial. The carbon for shell carbonate precipitation can either be derived from ambient </w:t>
      </w:r>
      <w:hyperlink r:id="rId6" w:tooltip="Learn more about dissolved inorganic carbon from ScienceDirect's AI-generated Topic Pages" w:history="1">
        <w:r w:rsidRPr="006436A9">
          <w:rPr>
            <w:rFonts w:ascii="Times New Roman" w:eastAsia="Times New Roman" w:hAnsi="Times New Roman" w:cs="Times New Roman"/>
            <w:color w:val="0000FF"/>
            <w:sz w:val="24"/>
            <w:szCs w:val="24"/>
            <w:u w:val="single"/>
          </w:rPr>
          <w:t>dissolved inorganic carbon</w:t>
        </w:r>
      </w:hyperlink>
      <w:r w:rsidRPr="006436A9">
        <w:rPr>
          <w:rFonts w:ascii="Times New Roman" w:eastAsia="Times New Roman" w:hAnsi="Times New Roman" w:cs="Times New Roman"/>
          <w:sz w:val="24"/>
          <w:szCs w:val="24"/>
        </w:rPr>
        <w:t xml:space="preserve"> (DIC), with shells recording environmental signals, or from metabolic CO</w:t>
      </w:r>
      <w:r w:rsidRPr="006436A9">
        <w:rPr>
          <w:rFonts w:ascii="Times New Roman" w:eastAsia="Times New Roman" w:hAnsi="Times New Roman" w:cs="Times New Roman"/>
          <w:sz w:val="24"/>
          <w:szCs w:val="24"/>
          <w:vertAlign w:val="subscript"/>
        </w:rPr>
        <w:t>2</w:t>
      </w:r>
      <w:r w:rsidRPr="006436A9">
        <w:rPr>
          <w:rFonts w:ascii="Times New Roman" w:eastAsia="Times New Roman" w:hAnsi="Times New Roman" w:cs="Times New Roman"/>
          <w:sz w:val="24"/>
          <w:szCs w:val="24"/>
        </w:rPr>
        <w:t xml:space="preserve">, with the potential to disguise environmental signals. To gain insight into this question, we investigated four nearly 100-yr long-term records of </w:t>
      </w:r>
      <w:hyperlink r:id="rId7" w:tooltip="Learn more about aragonite from ScienceDirect's AI-generated Topic Pages" w:history="1">
        <w:r w:rsidRPr="006436A9">
          <w:rPr>
            <w:rFonts w:ascii="Times New Roman" w:eastAsia="Times New Roman" w:hAnsi="Times New Roman" w:cs="Times New Roman"/>
            <w:color w:val="0000FF"/>
            <w:sz w:val="24"/>
            <w:szCs w:val="24"/>
            <w:u w:val="single"/>
          </w:rPr>
          <w:t>aragonite</w:t>
        </w:r>
      </w:hyperlink>
      <w:r w:rsidRPr="006436A9">
        <w:rPr>
          <w:rFonts w:ascii="Times New Roman" w:eastAsia="Times New Roman" w:hAnsi="Times New Roman" w:cs="Times New Roman"/>
          <w:sz w:val="24"/>
          <w:szCs w:val="24"/>
        </w:rPr>
        <w:t xml:space="preserve"> shells from an extant freshwater bivalve species, the endangered freshwater pearl mussel (</w:t>
      </w:r>
      <w:proofErr w:type="spellStart"/>
      <w:r w:rsidRPr="006436A9">
        <w:rPr>
          <w:rFonts w:ascii="Times New Roman" w:eastAsia="Times New Roman" w:hAnsi="Times New Roman" w:cs="Times New Roman"/>
          <w:i/>
          <w:iCs/>
          <w:sz w:val="24"/>
          <w:szCs w:val="24"/>
        </w:rPr>
        <w:t>Margaritifera</w:t>
      </w:r>
      <w:proofErr w:type="spellEnd"/>
      <w:r w:rsidRPr="006436A9">
        <w:rPr>
          <w:rFonts w:ascii="Times New Roman" w:eastAsia="Times New Roman" w:hAnsi="Times New Roman" w:cs="Times New Roman"/>
          <w:i/>
          <w:iCs/>
          <w:sz w:val="24"/>
          <w:szCs w:val="24"/>
        </w:rPr>
        <w:t xml:space="preserve"> </w:t>
      </w:r>
      <w:proofErr w:type="spellStart"/>
      <w:r w:rsidRPr="006436A9">
        <w:rPr>
          <w:rFonts w:ascii="Times New Roman" w:eastAsia="Times New Roman" w:hAnsi="Times New Roman" w:cs="Times New Roman"/>
          <w:i/>
          <w:iCs/>
          <w:sz w:val="24"/>
          <w:szCs w:val="24"/>
        </w:rPr>
        <w:t>margaritifera</w:t>
      </w:r>
      <w:proofErr w:type="spellEnd"/>
      <w:r w:rsidRPr="006436A9">
        <w:rPr>
          <w:rFonts w:ascii="Times New Roman" w:eastAsia="Times New Roman" w:hAnsi="Times New Roman" w:cs="Times New Roman"/>
          <w:sz w:val="24"/>
          <w:szCs w:val="24"/>
        </w:rPr>
        <w:t xml:space="preserve"> L.). Single growth increments of the outer prismatic and the inner nacreous zones were successfully and easily separated with a simple heat treatment for chronological analyses of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 xml:space="preserve">C in single layers of each zone. </w:t>
      </w:r>
      <w:hyperlink r:id="rId8" w:tooltip="Learn more about Autocorrelation from ScienceDirect's AI-generated Topic Pages" w:history="1">
        <w:r w:rsidRPr="006436A9">
          <w:rPr>
            <w:rFonts w:ascii="Times New Roman" w:eastAsia="Times New Roman" w:hAnsi="Times New Roman" w:cs="Times New Roman"/>
            <w:color w:val="0000FF"/>
            <w:sz w:val="24"/>
            <w:szCs w:val="24"/>
            <w:u w:val="single"/>
          </w:rPr>
          <w:t>Autocorrelation</w:t>
        </w:r>
      </w:hyperlink>
      <w:r w:rsidRPr="006436A9">
        <w:rPr>
          <w:rFonts w:ascii="Times New Roman" w:eastAsia="Times New Roman" w:hAnsi="Times New Roman" w:cs="Times New Roman"/>
          <w:sz w:val="24"/>
          <w:szCs w:val="24"/>
        </w:rPr>
        <w:t xml:space="preserve"> and </w:t>
      </w:r>
      <w:proofErr w:type="spellStart"/>
      <w:r w:rsidRPr="006436A9">
        <w:rPr>
          <w:rFonts w:ascii="Times New Roman" w:eastAsia="Times New Roman" w:hAnsi="Times New Roman" w:cs="Times New Roman"/>
          <w:sz w:val="24"/>
          <w:szCs w:val="24"/>
        </w:rPr>
        <w:t>semivariance</w:t>
      </w:r>
      <w:proofErr w:type="spellEnd"/>
      <w:r w:rsidRPr="006436A9">
        <w:rPr>
          <w:rFonts w:ascii="Times New Roman" w:eastAsia="Times New Roman" w:hAnsi="Times New Roman" w:cs="Times New Roman"/>
          <w:sz w:val="24"/>
          <w:szCs w:val="24"/>
        </w:rPr>
        <w:t xml:space="preserve"> statistical methods reveal that mussels show distinct individual signal patterns, which extend up to 25 yr. Signal patterns are reliably reproduced with replicate samples from defined layers within one shell and show similar patterns with a slight offset for inner nacreous and outer prismatic layers for individual animals. Mussels exposed to the same environmental conditions exhibit distinct and contradictory signature patterns, which do not match between individuals. This observation can only be explained by strong metabolic influences on shell precipitation. Environmental changes in pH, temperature, electric conductivity and atmospheric carbon signature had no or little (&lt;5%) influence, whereas body tissue protein and body tissue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C signatures negatively correlated with the youngest produced shell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 xml:space="preserve">C signatures, indicating that respiration causes a preferential loss of light isotopes from body mass and an inverse enrichment in shell </w:t>
      </w:r>
      <w:hyperlink r:id="rId9" w:tooltip="Learn more about aragonite from ScienceDirect's AI-generated Topic Pages" w:history="1">
        <w:r w:rsidRPr="006436A9">
          <w:rPr>
            <w:rFonts w:ascii="Times New Roman" w:eastAsia="Times New Roman" w:hAnsi="Times New Roman" w:cs="Times New Roman"/>
            <w:color w:val="0000FF"/>
            <w:sz w:val="24"/>
            <w:szCs w:val="24"/>
            <w:u w:val="single"/>
          </w:rPr>
          <w:t>aragonite</w:t>
        </w:r>
      </w:hyperlink>
      <w:r w:rsidRPr="006436A9">
        <w:rPr>
          <w:rFonts w:ascii="Times New Roman" w:eastAsia="Times New Roman" w:hAnsi="Times New Roman" w:cs="Times New Roman"/>
          <w:sz w:val="24"/>
          <w:szCs w:val="24"/>
        </w:rPr>
        <w:t>. Hence, the shells of the freshwater pearl mussel yield a long-term record of metabolic activity, whereas the use of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C in these shells as recorder for environmental signals is questionable. This may also be true for shells from other species, for which metabolic carbon incorporation has been acknowledged.</w:t>
      </w:r>
    </w:p>
    <w:p w:rsidR="006436A9" w:rsidRPr="006436A9" w:rsidRDefault="006436A9" w:rsidP="006436A9">
      <w:pPr>
        <w:spacing w:before="100" w:beforeAutospacing="1" w:after="100" w:afterAutospacing="1" w:line="240" w:lineRule="auto"/>
        <w:outlineLvl w:val="1"/>
        <w:rPr>
          <w:rFonts w:ascii="Times New Roman" w:eastAsia="Times New Roman" w:hAnsi="Times New Roman" w:cs="Times New Roman"/>
          <w:b/>
          <w:bCs/>
          <w:sz w:val="36"/>
          <w:szCs w:val="36"/>
        </w:rPr>
      </w:pPr>
      <w:r w:rsidRPr="006436A9">
        <w:rPr>
          <w:rFonts w:ascii="Times New Roman" w:eastAsia="Times New Roman" w:hAnsi="Times New Roman" w:cs="Times New Roman"/>
          <w:b/>
          <w:bCs/>
          <w:sz w:val="36"/>
          <w:szCs w:val="36"/>
        </w:rPr>
        <w:t>Introduction</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 xml:space="preserve">Mussel shells have been used in a number of </w:t>
      </w:r>
      <w:proofErr w:type="spellStart"/>
      <w:r w:rsidRPr="006436A9">
        <w:rPr>
          <w:rFonts w:ascii="Times New Roman" w:eastAsia="Times New Roman" w:hAnsi="Times New Roman" w:cs="Times New Roman"/>
          <w:sz w:val="24"/>
          <w:szCs w:val="24"/>
        </w:rPr>
        <w:t>paleoecological</w:t>
      </w:r>
      <w:proofErr w:type="spellEnd"/>
      <w:r w:rsidRPr="006436A9">
        <w:rPr>
          <w:rFonts w:ascii="Times New Roman" w:eastAsia="Times New Roman" w:hAnsi="Times New Roman" w:cs="Times New Roman"/>
          <w:sz w:val="24"/>
          <w:szCs w:val="24"/>
        </w:rPr>
        <w:t xml:space="preserve"> and environmental studies. While stable oxygen isotopic signatures in mussel shells have proved to be reliable recorders of environmental parameters (e.g., Epstein et al 1953, </w:t>
      </w:r>
      <w:proofErr w:type="spellStart"/>
      <w:r w:rsidRPr="006436A9">
        <w:rPr>
          <w:rFonts w:ascii="Times New Roman" w:eastAsia="Times New Roman" w:hAnsi="Times New Roman" w:cs="Times New Roman"/>
          <w:sz w:val="24"/>
          <w:szCs w:val="24"/>
        </w:rPr>
        <w:t>Tripati</w:t>
      </w:r>
      <w:proofErr w:type="spellEnd"/>
      <w:r w:rsidRPr="006436A9">
        <w:rPr>
          <w:rFonts w:ascii="Times New Roman" w:eastAsia="Times New Roman" w:hAnsi="Times New Roman" w:cs="Times New Roman"/>
          <w:sz w:val="24"/>
          <w:szCs w:val="24"/>
        </w:rPr>
        <w:t xml:space="preserve"> et al 2001), the interpretation of stable carbon isotopic composition of shell material remains contentious. Some isotopic studies on shells have shown that the stable isotopic composition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C) of the shell carbonate is governed by the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 xml:space="preserve">C of dissolved inorganic carbon (DIC) and therefore records changes in environmental variables such as pH, temperature, and salinity (e.g., Craig 1953, Keith et al 1964, </w:t>
      </w:r>
      <w:proofErr w:type="spellStart"/>
      <w:r w:rsidRPr="006436A9">
        <w:rPr>
          <w:rFonts w:ascii="Times New Roman" w:eastAsia="Times New Roman" w:hAnsi="Times New Roman" w:cs="Times New Roman"/>
          <w:sz w:val="24"/>
          <w:szCs w:val="24"/>
        </w:rPr>
        <w:t>Mook</w:t>
      </w:r>
      <w:proofErr w:type="spellEnd"/>
      <w:r w:rsidRPr="006436A9">
        <w:rPr>
          <w:rFonts w:ascii="Times New Roman" w:eastAsia="Times New Roman" w:hAnsi="Times New Roman" w:cs="Times New Roman"/>
          <w:sz w:val="24"/>
          <w:szCs w:val="24"/>
        </w:rPr>
        <w:t xml:space="preserve"> 1971, Fritz and </w:t>
      </w:r>
      <w:proofErr w:type="spellStart"/>
      <w:r w:rsidRPr="006436A9">
        <w:rPr>
          <w:rFonts w:ascii="Times New Roman" w:eastAsia="Times New Roman" w:hAnsi="Times New Roman" w:cs="Times New Roman"/>
          <w:sz w:val="24"/>
          <w:szCs w:val="24"/>
        </w:rPr>
        <w:t>Poplawski</w:t>
      </w:r>
      <w:proofErr w:type="spellEnd"/>
      <w:r w:rsidRPr="006436A9">
        <w:rPr>
          <w:rFonts w:ascii="Times New Roman" w:eastAsia="Times New Roman" w:hAnsi="Times New Roman" w:cs="Times New Roman"/>
          <w:sz w:val="24"/>
          <w:szCs w:val="24"/>
        </w:rPr>
        <w:t xml:space="preserve"> 1974, Donner and Nord 1986). Under ideal conditions, shell carbonate would be precipitated in equilibrium, resulting in calcite which is +1‰ enriched in comparison with </w:t>
      </w:r>
      <w:r w:rsidRPr="006436A9">
        <w:rPr>
          <w:rFonts w:ascii="Times New Roman" w:eastAsia="Times New Roman" w:hAnsi="Times New Roman" w:cs="Times New Roman"/>
          <w:sz w:val="24"/>
          <w:szCs w:val="24"/>
        </w:rPr>
        <w:lastRenderedPageBreak/>
        <w:t xml:space="preserve">bicarbonate, and aragonite that is +2.7‰ enriched (Romanek et al., 1992). On the other hand, shell carbonates were often found not to reflect the predicted equilibrium fractionation, being in general less enriched than predicted in </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 xml:space="preserve">C (e.g., Klein et al 1996, </w:t>
      </w:r>
      <w:proofErr w:type="spellStart"/>
      <w:r w:rsidRPr="006436A9">
        <w:rPr>
          <w:rFonts w:ascii="Times New Roman" w:eastAsia="Times New Roman" w:hAnsi="Times New Roman" w:cs="Times New Roman"/>
          <w:sz w:val="24"/>
          <w:szCs w:val="24"/>
        </w:rPr>
        <w:t>McConnaughey</w:t>
      </w:r>
      <w:proofErr w:type="spellEnd"/>
      <w:r w:rsidRPr="006436A9">
        <w:rPr>
          <w:rFonts w:ascii="Times New Roman" w:eastAsia="Times New Roman" w:hAnsi="Times New Roman" w:cs="Times New Roman"/>
          <w:sz w:val="24"/>
          <w:szCs w:val="24"/>
        </w:rPr>
        <w:t xml:space="preserve"> et al 1997, </w:t>
      </w:r>
      <w:proofErr w:type="spellStart"/>
      <w:r w:rsidRPr="006436A9">
        <w:rPr>
          <w:rFonts w:ascii="Times New Roman" w:eastAsia="Times New Roman" w:hAnsi="Times New Roman" w:cs="Times New Roman"/>
          <w:sz w:val="24"/>
          <w:szCs w:val="24"/>
        </w:rPr>
        <w:t>McConnaughey</w:t>
      </w:r>
      <w:proofErr w:type="spellEnd"/>
      <w:r w:rsidRPr="006436A9">
        <w:rPr>
          <w:rFonts w:ascii="Times New Roman" w:eastAsia="Times New Roman" w:hAnsi="Times New Roman" w:cs="Times New Roman"/>
          <w:sz w:val="24"/>
          <w:szCs w:val="24"/>
        </w:rPr>
        <w:t xml:space="preserve"> 2003, </w:t>
      </w:r>
      <w:proofErr w:type="spellStart"/>
      <w:r w:rsidRPr="006436A9">
        <w:rPr>
          <w:rFonts w:ascii="Times New Roman" w:eastAsia="Times New Roman" w:hAnsi="Times New Roman" w:cs="Times New Roman"/>
          <w:sz w:val="24"/>
          <w:szCs w:val="24"/>
        </w:rPr>
        <w:t>Kaandorp</w:t>
      </w:r>
      <w:proofErr w:type="spellEnd"/>
      <w:r w:rsidRPr="006436A9">
        <w:rPr>
          <w:rFonts w:ascii="Times New Roman" w:eastAsia="Times New Roman" w:hAnsi="Times New Roman" w:cs="Times New Roman"/>
          <w:sz w:val="24"/>
          <w:szCs w:val="24"/>
        </w:rPr>
        <w:t xml:space="preserve"> et al 2003). Most authors explain this offset by a contribution of metabolic carbon (Tanaka et al 1986, Klein et al 1996, </w:t>
      </w:r>
      <w:proofErr w:type="spellStart"/>
      <w:r w:rsidRPr="006436A9">
        <w:rPr>
          <w:rFonts w:ascii="Times New Roman" w:eastAsia="Times New Roman" w:hAnsi="Times New Roman" w:cs="Times New Roman"/>
          <w:sz w:val="24"/>
          <w:szCs w:val="24"/>
        </w:rPr>
        <w:t>Veinott</w:t>
      </w:r>
      <w:proofErr w:type="spellEnd"/>
      <w:r w:rsidRPr="006436A9">
        <w:rPr>
          <w:rFonts w:ascii="Times New Roman" w:eastAsia="Times New Roman" w:hAnsi="Times New Roman" w:cs="Times New Roman"/>
          <w:sz w:val="24"/>
          <w:szCs w:val="24"/>
        </w:rPr>
        <w:t xml:space="preserve"> and Cornett 1998, Vander </w:t>
      </w:r>
      <w:proofErr w:type="spellStart"/>
      <w:r w:rsidRPr="006436A9">
        <w:rPr>
          <w:rFonts w:ascii="Times New Roman" w:eastAsia="Times New Roman" w:hAnsi="Times New Roman" w:cs="Times New Roman"/>
          <w:sz w:val="24"/>
          <w:szCs w:val="24"/>
        </w:rPr>
        <w:t>Putten</w:t>
      </w:r>
      <w:proofErr w:type="spellEnd"/>
      <w:r w:rsidRPr="006436A9">
        <w:rPr>
          <w:rFonts w:ascii="Times New Roman" w:eastAsia="Times New Roman" w:hAnsi="Times New Roman" w:cs="Times New Roman"/>
          <w:sz w:val="24"/>
          <w:szCs w:val="24"/>
        </w:rPr>
        <w:t xml:space="preserve"> et al 2000). Thus, researchers have indirectly acknowledged an influence of the food source, which is reflected in a certain percentage of metabolic derived carbon within the carbonate. Despite this, it is often stated that the total contribution of metabolic CO</w:t>
      </w:r>
      <w:r w:rsidRPr="006436A9">
        <w:rPr>
          <w:rFonts w:ascii="Times New Roman" w:eastAsia="Times New Roman" w:hAnsi="Times New Roman" w:cs="Times New Roman"/>
          <w:sz w:val="24"/>
          <w:szCs w:val="24"/>
          <w:vertAlign w:val="subscript"/>
        </w:rPr>
        <w:t>2</w:t>
      </w:r>
      <w:r w:rsidRPr="006436A9">
        <w:rPr>
          <w:rFonts w:ascii="Times New Roman" w:eastAsia="Times New Roman" w:hAnsi="Times New Roman" w:cs="Times New Roman"/>
          <w:sz w:val="24"/>
          <w:szCs w:val="24"/>
        </w:rPr>
        <w:t xml:space="preserve"> in aquatic invertebrates is generally low to insignificant, suggesting that kinetic effects can explain nonequilibrium fractionations (</w:t>
      </w:r>
      <w:proofErr w:type="spellStart"/>
      <w:r w:rsidRPr="006436A9">
        <w:rPr>
          <w:rFonts w:ascii="Times New Roman" w:eastAsia="Times New Roman" w:hAnsi="Times New Roman" w:cs="Times New Roman"/>
          <w:sz w:val="24"/>
          <w:szCs w:val="24"/>
        </w:rPr>
        <w:t>McConnaughey</w:t>
      </w:r>
      <w:proofErr w:type="spellEnd"/>
      <w:r w:rsidRPr="006436A9">
        <w:rPr>
          <w:rFonts w:ascii="Times New Roman" w:eastAsia="Times New Roman" w:hAnsi="Times New Roman" w:cs="Times New Roman"/>
          <w:sz w:val="24"/>
          <w:szCs w:val="24"/>
        </w:rPr>
        <w:t xml:space="preserve"> et al 1997, </w:t>
      </w:r>
      <w:proofErr w:type="spellStart"/>
      <w:r w:rsidRPr="006436A9">
        <w:rPr>
          <w:rFonts w:ascii="Times New Roman" w:eastAsia="Times New Roman" w:hAnsi="Times New Roman" w:cs="Times New Roman"/>
          <w:sz w:val="24"/>
          <w:szCs w:val="24"/>
        </w:rPr>
        <w:t>McConnaughey</w:t>
      </w:r>
      <w:proofErr w:type="spellEnd"/>
      <w:r w:rsidRPr="006436A9">
        <w:rPr>
          <w:rFonts w:ascii="Times New Roman" w:eastAsia="Times New Roman" w:hAnsi="Times New Roman" w:cs="Times New Roman"/>
          <w:sz w:val="24"/>
          <w:szCs w:val="24"/>
        </w:rPr>
        <w:t xml:space="preserve"> 2003). In contrast, </w:t>
      </w:r>
      <w:proofErr w:type="spellStart"/>
      <w:r w:rsidRPr="006436A9">
        <w:rPr>
          <w:rFonts w:ascii="Times New Roman" w:eastAsia="Times New Roman" w:hAnsi="Times New Roman" w:cs="Times New Roman"/>
          <w:sz w:val="24"/>
          <w:szCs w:val="24"/>
        </w:rPr>
        <w:t>Dettman</w:t>
      </w:r>
      <w:proofErr w:type="spellEnd"/>
      <w:r w:rsidRPr="006436A9">
        <w:rPr>
          <w:rFonts w:ascii="Times New Roman" w:eastAsia="Times New Roman" w:hAnsi="Times New Roman" w:cs="Times New Roman"/>
          <w:sz w:val="24"/>
          <w:szCs w:val="24"/>
        </w:rPr>
        <w:t xml:space="preserve"> et al. (1999) found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C values of aragonite-forming freshwater bivalves with a highly variable offset to equilibrium values, suggesting a significant and variable incorporation of metabolic carbon into shell carbonate. Despite the observed isotopic disequilibrium of carbonate formation, shell records are frequently compared to or assumed to reflect changes in ambient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C</w:t>
      </w:r>
      <w:r w:rsidRPr="006436A9">
        <w:rPr>
          <w:rFonts w:ascii="Times New Roman" w:eastAsia="Times New Roman" w:hAnsi="Times New Roman" w:cs="Times New Roman"/>
          <w:sz w:val="24"/>
          <w:szCs w:val="24"/>
          <w:vertAlign w:val="subscript"/>
        </w:rPr>
        <w:t>DIC</w:t>
      </w:r>
      <w:r w:rsidRPr="006436A9">
        <w:rPr>
          <w:rFonts w:ascii="Times New Roman" w:eastAsia="Times New Roman" w:hAnsi="Times New Roman" w:cs="Times New Roman"/>
          <w:sz w:val="24"/>
          <w:szCs w:val="24"/>
        </w:rPr>
        <w:t>.</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The freshwater pearl mussel (</w:t>
      </w:r>
      <w:proofErr w:type="spellStart"/>
      <w:r w:rsidRPr="006436A9">
        <w:rPr>
          <w:rFonts w:ascii="Times New Roman" w:eastAsia="Times New Roman" w:hAnsi="Times New Roman" w:cs="Times New Roman"/>
          <w:i/>
          <w:iCs/>
          <w:sz w:val="24"/>
          <w:szCs w:val="24"/>
        </w:rPr>
        <w:t>Margaritifera</w:t>
      </w:r>
      <w:proofErr w:type="spellEnd"/>
      <w:r w:rsidRPr="006436A9">
        <w:rPr>
          <w:rFonts w:ascii="Times New Roman" w:eastAsia="Times New Roman" w:hAnsi="Times New Roman" w:cs="Times New Roman"/>
          <w:i/>
          <w:iCs/>
          <w:sz w:val="24"/>
          <w:szCs w:val="24"/>
        </w:rPr>
        <w:t xml:space="preserve"> </w:t>
      </w:r>
      <w:proofErr w:type="spellStart"/>
      <w:r w:rsidRPr="006436A9">
        <w:rPr>
          <w:rFonts w:ascii="Times New Roman" w:eastAsia="Times New Roman" w:hAnsi="Times New Roman" w:cs="Times New Roman"/>
          <w:i/>
          <w:iCs/>
          <w:sz w:val="24"/>
          <w:szCs w:val="24"/>
        </w:rPr>
        <w:t>margaritifera</w:t>
      </w:r>
      <w:proofErr w:type="spellEnd"/>
      <w:r w:rsidRPr="006436A9">
        <w:rPr>
          <w:rFonts w:ascii="Times New Roman" w:eastAsia="Times New Roman" w:hAnsi="Times New Roman" w:cs="Times New Roman"/>
          <w:sz w:val="24"/>
          <w:szCs w:val="24"/>
        </w:rPr>
        <w:t xml:space="preserve"> L.) is a long-lived species which is sessile or relative immobile during its adult phase. It produces a shell of well-defined material with annual increments. This combination offers a great potential for chronological analyses of shell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 xml:space="preserve">C signatures to reveal changes within its environment. Freshwater pearl mussels are widely distributed in the </w:t>
      </w:r>
      <w:proofErr w:type="spellStart"/>
      <w:r w:rsidRPr="006436A9">
        <w:rPr>
          <w:rFonts w:ascii="Times New Roman" w:eastAsia="Times New Roman" w:hAnsi="Times New Roman" w:cs="Times New Roman"/>
          <w:sz w:val="24"/>
          <w:szCs w:val="24"/>
        </w:rPr>
        <w:t>holarctic</w:t>
      </w:r>
      <w:proofErr w:type="spellEnd"/>
      <w:r w:rsidRPr="006436A9">
        <w:rPr>
          <w:rFonts w:ascii="Times New Roman" w:eastAsia="Times New Roman" w:hAnsi="Times New Roman" w:cs="Times New Roman"/>
          <w:sz w:val="24"/>
          <w:szCs w:val="24"/>
        </w:rPr>
        <w:t xml:space="preserve"> range. They attain individual ages of more than 100 </w:t>
      </w:r>
      <w:proofErr w:type="spellStart"/>
      <w:r w:rsidRPr="006436A9">
        <w:rPr>
          <w:rFonts w:ascii="Times New Roman" w:eastAsia="Times New Roman" w:hAnsi="Times New Roman" w:cs="Times New Roman"/>
          <w:sz w:val="24"/>
          <w:szCs w:val="24"/>
        </w:rPr>
        <w:t>yr</w:t>
      </w:r>
      <w:proofErr w:type="spellEnd"/>
      <w:r w:rsidRPr="006436A9">
        <w:rPr>
          <w:rFonts w:ascii="Times New Roman" w:eastAsia="Times New Roman" w:hAnsi="Times New Roman" w:cs="Times New Roman"/>
          <w:sz w:val="24"/>
          <w:szCs w:val="24"/>
        </w:rPr>
        <w:t xml:space="preserve"> (Bauer, 1992). The species is nowadays critically endangered and analyses of </w:t>
      </w:r>
      <w:proofErr w:type="spellStart"/>
      <w:r w:rsidRPr="006436A9">
        <w:rPr>
          <w:rFonts w:ascii="Times New Roman" w:eastAsia="Times New Roman" w:hAnsi="Times New Roman" w:cs="Times New Roman"/>
          <w:sz w:val="24"/>
          <w:szCs w:val="24"/>
        </w:rPr>
        <w:t>biochronological</w:t>
      </w:r>
      <w:proofErr w:type="spellEnd"/>
      <w:r w:rsidRPr="006436A9">
        <w:rPr>
          <w:rFonts w:ascii="Times New Roman" w:eastAsia="Times New Roman" w:hAnsi="Times New Roman" w:cs="Times New Roman"/>
          <w:sz w:val="24"/>
          <w:szCs w:val="24"/>
        </w:rPr>
        <w:t xml:space="preserve"> records in shell material may help to find reasons for the species’ low and decreasing vitality during the last decades. Like other mussels from cold and temperate climates, </w:t>
      </w:r>
      <w:r w:rsidRPr="006436A9">
        <w:rPr>
          <w:rFonts w:ascii="Times New Roman" w:eastAsia="Times New Roman" w:hAnsi="Times New Roman" w:cs="Times New Roman"/>
          <w:i/>
          <w:iCs/>
          <w:sz w:val="24"/>
          <w:szCs w:val="24"/>
        </w:rPr>
        <w:t xml:space="preserve">M. </w:t>
      </w:r>
      <w:proofErr w:type="spellStart"/>
      <w:r w:rsidRPr="006436A9">
        <w:rPr>
          <w:rFonts w:ascii="Times New Roman" w:eastAsia="Times New Roman" w:hAnsi="Times New Roman" w:cs="Times New Roman"/>
          <w:i/>
          <w:iCs/>
          <w:sz w:val="24"/>
          <w:szCs w:val="24"/>
        </w:rPr>
        <w:t>margaritifera</w:t>
      </w:r>
      <w:proofErr w:type="spellEnd"/>
      <w:r w:rsidRPr="006436A9">
        <w:rPr>
          <w:rFonts w:ascii="Times New Roman" w:eastAsia="Times New Roman" w:hAnsi="Times New Roman" w:cs="Times New Roman"/>
          <w:sz w:val="24"/>
          <w:szCs w:val="24"/>
        </w:rPr>
        <w:t xml:space="preserve"> shells have annual growth increments (Fig. 1), analogous to tree rings, with shell formation during summer and a reduced or ceased carbonate deposition at low temperatures during winter (e.g., </w:t>
      </w:r>
      <w:proofErr w:type="spellStart"/>
      <w:r w:rsidRPr="006436A9">
        <w:rPr>
          <w:rFonts w:ascii="Times New Roman" w:eastAsia="Times New Roman" w:hAnsi="Times New Roman" w:cs="Times New Roman"/>
          <w:sz w:val="24"/>
          <w:szCs w:val="24"/>
        </w:rPr>
        <w:t>Siegele</w:t>
      </w:r>
      <w:proofErr w:type="spellEnd"/>
      <w:r w:rsidRPr="006436A9">
        <w:rPr>
          <w:rFonts w:ascii="Times New Roman" w:eastAsia="Times New Roman" w:hAnsi="Times New Roman" w:cs="Times New Roman"/>
          <w:sz w:val="24"/>
          <w:szCs w:val="24"/>
        </w:rPr>
        <w:t xml:space="preserve"> et al., 2001). The inorganic carbon in </w:t>
      </w:r>
      <w:r w:rsidRPr="006436A9">
        <w:rPr>
          <w:rFonts w:ascii="Times New Roman" w:eastAsia="Times New Roman" w:hAnsi="Times New Roman" w:cs="Times New Roman"/>
          <w:i/>
          <w:iCs/>
          <w:sz w:val="24"/>
          <w:szCs w:val="24"/>
        </w:rPr>
        <w:t xml:space="preserve">M. </w:t>
      </w:r>
      <w:proofErr w:type="spellStart"/>
      <w:r w:rsidRPr="006436A9">
        <w:rPr>
          <w:rFonts w:ascii="Times New Roman" w:eastAsia="Times New Roman" w:hAnsi="Times New Roman" w:cs="Times New Roman"/>
          <w:i/>
          <w:iCs/>
          <w:sz w:val="24"/>
          <w:szCs w:val="24"/>
        </w:rPr>
        <w:t>margaritifera</w:t>
      </w:r>
      <w:proofErr w:type="spellEnd"/>
      <w:r w:rsidRPr="006436A9">
        <w:rPr>
          <w:rFonts w:ascii="Times New Roman" w:eastAsia="Times New Roman" w:hAnsi="Times New Roman" w:cs="Times New Roman"/>
          <w:sz w:val="24"/>
          <w:szCs w:val="24"/>
        </w:rPr>
        <w:t xml:space="preserve"> shells is carbonate in the form of aragonite (Carell et al 1987, </w:t>
      </w:r>
      <w:proofErr w:type="spellStart"/>
      <w:r w:rsidRPr="006436A9">
        <w:rPr>
          <w:rFonts w:ascii="Times New Roman" w:eastAsia="Times New Roman" w:hAnsi="Times New Roman" w:cs="Times New Roman"/>
          <w:sz w:val="24"/>
          <w:szCs w:val="24"/>
        </w:rPr>
        <w:t>Nyström</w:t>
      </w:r>
      <w:proofErr w:type="spellEnd"/>
      <w:r w:rsidRPr="006436A9">
        <w:rPr>
          <w:rFonts w:ascii="Times New Roman" w:eastAsia="Times New Roman" w:hAnsi="Times New Roman" w:cs="Times New Roman"/>
          <w:sz w:val="24"/>
          <w:szCs w:val="24"/>
        </w:rPr>
        <w:t xml:space="preserve"> et al 1995). Visible opaque, organic scleroprotein-rich ridges are produced during winter and separate the aragonite increments of maximum growth from summer seasons. These layers allow analyses of time scale series of samples. Once deposited, the carbonate is immobilized and resistant to subsequent changes (Lindh et al., 1988). </w:t>
      </w:r>
      <w:r w:rsidRPr="006436A9">
        <w:rPr>
          <w:rFonts w:ascii="Times New Roman" w:eastAsia="Times New Roman" w:hAnsi="Times New Roman" w:cs="Times New Roman"/>
          <w:i/>
          <w:iCs/>
          <w:sz w:val="24"/>
          <w:szCs w:val="24"/>
        </w:rPr>
        <w:t xml:space="preserve">M. </w:t>
      </w:r>
      <w:proofErr w:type="spellStart"/>
      <w:r w:rsidRPr="006436A9">
        <w:rPr>
          <w:rFonts w:ascii="Times New Roman" w:eastAsia="Times New Roman" w:hAnsi="Times New Roman" w:cs="Times New Roman"/>
          <w:i/>
          <w:iCs/>
          <w:sz w:val="24"/>
          <w:szCs w:val="24"/>
        </w:rPr>
        <w:t>margaritifera</w:t>
      </w:r>
      <w:proofErr w:type="spellEnd"/>
      <w:r w:rsidRPr="006436A9">
        <w:rPr>
          <w:rFonts w:ascii="Times New Roman" w:eastAsia="Times New Roman" w:hAnsi="Times New Roman" w:cs="Times New Roman"/>
          <w:sz w:val="24"/>
          <w:szCs w:val="24"/>
        </w:rPr>
        <w:t xml:space="preserve"> mussel shell records have been studied to reveal changes in elemental composition of the shell material and have been used as environmental indicators for eutrophication and acidification (e.g., Carell et al 1987, Lindh et al 1988, </w:t>
      </w:r>
      <w:proofErr w:type="spellStart"/>
      <w:r w:rsidRPr="006436A9">
        <w:rPr>
          <w:rFonts w:ascii="Times New Roman" w:eastAsia="Times New Roman" w:hAnsi="Times New Roman" w:cs="Times New Roman"/>
          <w:sz w:val="24"/>
          <w:szCs w:val="24"/>
        </w:rPr>
        <w:t>Mutvei</w:t>
      </w:r>
      <w:proofErr w:type="spellEnd"/>
      <w:r w:rsidRPr="006436A9">
        <w:rPr>
          <w:rFonts w:ascii="Times New Roman" w:eastAsia="Times New Roman" w:hAnsi="Times New Roman" w:cs="Times New Roman"/>
          <w:sz w:val="24"/>
          <w:szCs w:val="24"/>
        </w:rPr>
        <w:t xml:space="preserve"> and </w:t>
      </w:r>
      <w:proofErr w:type="spellStart"/>
      <w:r w:rsidRPr="006436A9">
        <w:rPr>
          <w:rFonts w:ascii="Times New Roman" w:eastAsia="Times New Roman" w:hAnsi="Times New Roman" w:cs="Times New Roman"/>
          <w:sz w:val="24"/>
          <w:szCs w:val="24"/>
        </w:rPr>
        <w:t>Westermark</w:t>
      </w:r>
      <w:proofErr w:type="spellEnd"/>
      <w:r w:rsidRPr="006436A9">
        <w:rPr>
          <w:rFonts w:ascii="Times New Roman" w:eastAsia="Times New Roman" w:hAnsi="Times New Roman" w:cs="Times New Roman"/>
          <w:sz w:val="24"/>
          <w:szCs w:val="24"/>
        </w:rPr>
        <w:t xml:space="preserve"> 2001 and references therein).</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An evaluation of the influences on shell isotopic chemistry is important for the interpretation of such values in the context of environmental or paleoenvironmental studies. We present a novel and simple method to sample annual growth layers from the outer prismatic and the inner nacreous zone of mussel shells, by removing the organic carbon, and we test the hypothesis that shell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C signature is controlled by environmental variables. If this is the case, different individuals exposed to the same environment should exhibit similar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 xml:space="preserve">C values and their signature should synchronously change with changing environment. Hence, we use old animals from one species and from the same location. Over their life span of 100 </w:t>
      </w:r>
      <w:proofErr w:type="spellStart"/>
      <w:r w:rsidRPr="006436A9">
        <w:rPr>
          <w:rFonts w:ascii="Times New Roman" w:eastAsia="Times New Roman" w:hAnsi="Times New Roman" w:cs="Times New Roman"/>
          <w:sz w:val="24"/>
          <w:szCs w:val="24"/>
        </w:rPr>
        <w:t>yr</w:t>
      </w:r>
      <w:proofErr w:type="spellEnd"/>
      <w:r w:rsidRPr="006436A9">
        <w:rPr>
          <w:rFonts w:ascii="Times New Roman" w:eastAsia="Times New Roman" w:hAnsi="Times New Roman" w:cs="Times New Roman"/>
          <w:sz w:val="24"/>
          <w:szCs w:val="24"/>
        </w:rPr>
        <w:t>, changes in environmental conditions can be chronicled.</w:t>
      </w:r>
    </w:p>
    <w:p w:rsidR="006436A9" w:rsidRPr="006436A9" w:rsidRDefault="006436A9" w:rsidP="006436A9">
      <w:pPr>
        <w:spacing w:before="100" w:beforeAutospacing="1" w:after="100" w:afterAutospacing="1" w:line="240" w:lineRule="auto"/>
        <w:outlineLvl w:val="1"/>
        <w:rPr>
          <w:rFonts w:ascii="Times New Roman" w:eastAsia="Times New Roman" w:hAnsi="Times New Roman" w:cs="Times New Roman"/>
          <w:b/>
          <w:bCs/>
          <w:sz w:val="36"/>
          <w:szCs w:val="36"/>
        </w:rPr>
      </w:pPr>
      <w:r w:rsidRPr="006436A9">
        <w:rPr>
          <w:rFonts w:ascii="Times New Roman" w:eastAsia="Times New Roman" w:hAnsi="Times New Roman" w:cs="Times New Roman"/>
          <w:b/>
          <w:bCs/>
          <w:sz w:val="36"/>
          <w:szCs w:val="36"/>
        </w:rPr>
        <w:t>Section snippets</w:t>
      </w:r>
    </w:p>
    <w:p w:rsidR="006436A9" w:rsidRPr="006436A9" w:rsidRDefault="006436A9" w:rsidP="006436A9">
      <w:pPr>
        <w:spacing w:before="100" w:beforeAutospacing="1" w:after="100" w:afterAutospacing="1" w:line="240" w:lineRule="auto"/>
        <w:outlineLvl w:val="1"/>
        <w:rPr>
          <w:rFonts w:ascii="Times New Roman" w:eastAsia="Times New Roman" w:hAnsi="Times New Roman" w:cs="Times New Roman"/>
          <w:b/>
          <w:bCs/>
          <w:sz w:val="36"/>
          <w:szCs w:val="36"/>
        </w:rPr>
      </w:pPr>
      <w:r w:rsidRPr="006436A9">
        <w:rPr>
          <w:rFonts w:ascii="Times New Roman" w:eastAsia="Times New Roman" w:hAnsi="Times New Roman" w:cs="Times New Roman"/>
          <w:b/>
          <w:bCs/>
          <w:sz w:val="36"/>
          <w:szCs w:val="36"/>
        </w:rPr>
        <w:t>Sampling Site</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lastRenderedPageBreak/>
        <w:t xml:space="preserve">Freshwater pearl mussels typically inhabit clear streams which are low in lime and nutrients. Four specimens originating from the same population were collected in August 2001 from a small headwater stream from the Elbe drainage system in the </w:t>
      </w:r>
      <w:proofErr w:type="spellStart"/>
      <w:r w:rsidRPr="006436A9">
        <w:rPr>
          <w:rFonts w:ascii="Times New Roman" w:eastAsia="Times New Roman" w:hAnsi="Times New Roman" w:cs="Times New Roman"/>
          <w:sz w:val="24"/>
          <w:szCs w:val="24"/>
        </w:rPr>
        <w:t>Fichtel</w:t>
      </w:r>
      <w:proofErr w:type="spellEnd"/>
      <w:r w:rsidRPr="006436A9">
        <w:rPr>
          <w:rFonts w:ascii="Times New Roman" w:eastAsia="Times New Roman" w:hAnsi="Times New Roman" w:cs="Times New Roman"/>
          <w:sz w:val="24"/>
          <w:szCs w:val="24"/>
        </w:rPr>
        <w:t xml:space="preserve"> Mountains close to the border between Germany and the Czech Republic. Specimens were labeled Z1, Z2, Z3 and Z12. All individuals were found in close vicinity, belonged to one large mussel bank covering an area of 5 m by 1 m and were exposed to</w:t>
      </w:r>
    </w:p>
    <w:p w:rsidR="006436A9" w:rsidRPr="006436A9" w:rsidRDefault="006436A9" w:rsidP="006436A9">
      <w:pPr>
        <w:spacing w:before="100" w:beforeAutospacing="1" w:after="100" w:afterAutospacing="1" w:line="240" w:lineRule="auto"/>
        <w:outlineLvl w:val="1"/>
        <w:rPr>
          <w:rFonts w:ascii="Times New Roman" w:eastAsia="Times New Roman" w:hAnsi="Times New Roman" w:cs="Times New Roman"/>
          <w:b/>
          <w:bCs/>
          <w:sz w:val="36"/>
          <w:szCs w:val="36"/>
        </w:rPr>
      </w:pPr>
      <w:r w:rsidRPr="006436A9">
        <w:rPr>
          <w:rFonts w:ascii="Times New Roman" w:eastAsia="Times New Roman" w:hAnsi="Times New Roman" w:cs="Times New Roman"/>
          <w:b/>
          <w:bCs/>
          <w:sz w:val="36"/>
          <w:szCs w:val="36"/>
        </w:rPr>
        <w:t>Sampling Method and Reliability</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 xml:space="preserve">Heating at 550°C indicated 7%–8% (wt.) organic material (av. = 7.6%, SD = 0.7%) and was an easy and effective method to remove the periostracum, separate the outer prismatic and inner nacreous layers and sample distinct growth increments within these zones. More than 60 layers per shell could be separated. This method allowed an easy sampling of the roofing-tile-like prismatic (= outer) layers. Single “roofing tiles” from the outer prismatic zone consisted of one or two growth increments in 90% </w:t>
      </w:r>
    </w:p>
    <w:p w:rsidR="006436A9" w:rsidRPr="006436A9" w:rsidRDefault="006436A9" w:rsidP="006436A9">
      <w:pPr>
        <w:spacing w:before="100" w:beforeAutospacing="1" w:after="100" w:afterAutospacing="1" w:line="240" w:lineRule="auto"/>
        <w:outlineLvl w:val="1"/>
        <w:rPr>
          <w:rFonts w:ascii="Times New Roman" w:eastAsia="Times New Roman" w:hAnsi="Times New Roman" w:cs="Times New Roman"/>
          <w:b/>
          <w:bCs/>
          <w:sz w:val="36"/>
          <w:szCs w:val="36"/>
        </w:rPr>
      </w:pPr>
      <w:r w:rsidRPr="006436A9">
        <w:rPr>
          <w:rFonts w:ascii="Times New Roman" w:eastAsia="Times New Roman" w:hAnsi="Times New Roman" w:cs="Times New Roman"/>
          <w:b/>
          <w:bCs/>
          <w:sz w:val="36"/>
          <w:szCs w:val="36"/>
        </w:rPr>
        <w:t>Conclusions</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 xml:space="preserve">The shells of freshwater pearl mussels provide a long-term stable carbon isotope archive, extending up to 100 </w:t>
      </w:r>
      <w:proofErr w:type="spellStart"/>
      <w:r w:rsidRPr="006436A9">
        <w:rPr>
          <w:rFonts w:ascii="Times New Roman" w:eastAsia="Times New Roman" w:hAnsi="Times New Roman" w:cs="Times New Roman"/>
          <w:sz w:val="24"/>
          <w:szCs w:val="24"/>
        </w:rPr>
        <w:t>yr</w:t>
      </w:r>
      <w:proofErr w:type="spellEnd"/>
      <w:r w:rsidRPr="006436A9">
        <w:rPr>
          <w:rFonts w:ascii="Times New Roman" w:eastAsia="Times New Roman" w:hAnsi="Times New Roman" w:cs="Times New Roman"/>
          <w:sz w:val="24"/>
          <w:szCs w:val="24"/>
        </w:rPr>
        <w:t xml:space="preserve"> for Central European populations. By heating at 550°C this archive can be easily separated into individual layers, which can then be assigned to single years. This separation is easier for the thick outer prismatic layers than for the thin inner nacreous layers. The outer layers are preferable for sampling in this respect, although some information from early growth stages may be</w:t>
      </w:r>
    </w:p>
    <w:p w:rsidR="006436A9" w:rsidRPr="006436A9" w:rsidRDefault="006436A9" w:rsidP="006436A9">
      <w:pPr>
        <w:spacing w:before="100" w:beforeAutospacing="1" w:after="100" w:afterAutospacing="1" w:line="240" w:lineRule="auto"/>
        <w:outlineLvl w:val="1"/>
        <w:rPr>
          <w:rFonts w:ascii="Times New Roman" w:eastAsia="Times New Roman" w:hAnsi="Times New Roman" w:cs="Times New Roman"/>
          <w:b/>
          <w:bCs/>
          <w:sz w:val="36"/>
          <w:szCs w:val="36"/>
        </w:rPr>
      </w:pPr>
      <w:r w:rsidRPr="006436A9">
        <w:rPr>
          <w:rFonts w:ascii="Times New Roman" w:eastAsia="Times New Roman" w:hAnsi="Times New Roman" w:cs="Times New Roman"/>
          <w:b/>
          <w:bCs/>
          <w:sz w:val="36"/>
          <w:szCs w:val="36"/>
        </w:rPr>
        <w:t>Acknowledgments</w:t>
      </w:r>
    </w:p>
    <w:p w:rsidR="006436A9" w:rsidRPr="006436A9" w:rsidRDefault="006436A9" w:rsidP="006436A9">
      <w:pPr>
        <w:spacing w:before="100" w:beforeAutospacing="1" w:after="100" w:afterAutospacing="1" w:line="240" w:lineRule="auto"/>
        <w:rPr>
          <w:rFonts w:ascii="Times New Roman" w:eastAsia="Times New Roman" w:hAnsi="Times New Roman" w:cs="Times New Roman"/>
          <w:sz w:val="24"/>
          <w:szCs w:val="24"/>
        </w:rPr>
      </w:pPr>
      <w:r w:rsidRPr="006436A9">
        <w:rPr>
          <w:rFonts w:ascii="Times New Roman" w:eastAsia="Times New Roman" w:hAnsi="Times New Roman" w:cs="Times New Roman"/>
          <w:sz w:val="24"/>
          <w:szCs w:val="24"/>
        </w:rPr>
        <w:t xml:space="preserve">This study was originally initiated by a student project within the course “Stable isotopes in ecology and plant physiology.” We thank K. </w:t>
      </w:r>
      <w:proofErr w:type="spellStart"/>
      <w:r w:rsidRPr="006436A9">
        <w:rPr>
          <w:rFonts w:ascii="Times New Roman" w:eastAsia="Times New Roman" w:hAnsi="Times New Roman" w:cs="Times New Roman"/>
          <w:sz w:val="24"/>
          <w:szCs w:val="24"/>
        </w:rPr>
        <w:t>Schullehner</w:t>
      </w:r>
      <w:proofErr w:type="spellEnd"/>
      <w:r w:rsidRPr="006436A9">
        <w:rPr>
          <w:rFonts w:ascii="Times New Roman" w:eastAsia="Times New Roman" w:hAnsi="Times New Roman" w:cs="Times New Roman"/>
          <w:sz w:val="24"/>
          <w:szCs w:val="24"/>
        </w:rPr>
        <w:t xml:space="preserve"> for technical assistance, H. Schnyder and R. </w:t>
      </w:r>
      <w:proofErr w:type="spellStart"/>
      <w:r w:rsidRPr="006436A9">
        <w:rPr>
          <w:rFonts w:ascii="Times New Roman" w:eastAsia="Times New Roman" w:hAnsi="Times New Roman" w:cs="Times New Roman"/>
          <w:sz w:val="24"/>
          <w:szCs w:val="24"/>
        </w:rPr>
        <w:t>Schäufele</w:t>
      </w:r>
      <w:proofErr w:type="spellEnd"/>
      <w:r w:rsidRPr="006436A9">
        <w:rPr>
          <w:rFonts w:ascii="Times New Roman" w:eastAsia="Times New Roman" w:hAnsi="Times New Roman" w:cs="Times New Roman"/>
          <w:sz w:val="24"/>
          <w:szCs w:val="24"/>
        </w:rPr>
        <w:t xml:space="preserve"> for stimulating discussions. We are extremely grateful to D. L. </w:t>
      </w:r>
      <w:proofErr w:type="spellStart"/>
      <w:r w:rsidRPr="006436A9">
        <w:rPr>
          <w:rFonts w:ascii="Times New Roman" w:eastAsia="Times New Roman" w:hAnsi="Times New Roman" w:cs="Times New Roman"/>
          <w:sz w:val="24"/>
          <w:szCs w:val="24"/>
        </w:rPr>
        <w:t>Dettman</w:t>
      </w:r>
      <w:proofErr w:type="spellEnd"/>
      <w:r w:rsidRPr="006436A9">
        <w:rPr>
          <w:rFonts w:ascii="Times New Roman" w:eastAsia="Times New Roman" w:hAnsi="Times New Roman" w:cs="Times New Roman"/>
          <w:sz w:val="24"/>
          <w:szCs w:val="24"/>
        </w:rPr>
        <w:t>, Arizona, for carrying out comparative measurements of shell δ</w:t>
      </w:r>
      <w:r w:rsidRPr="006436A9">
        <w:rPr>
          <w:rFonts w:ascii="Times New Roman" w:eastAsia="Times New Roman" w:hAnsi="Times New Roman" w:cs="Times New Roman"/>
          <w:sz w:val="24"/>
          <w:szCs w:val="24"/>
          <w:vertAlign w:val="superscript"/>
        </w:rPr>
        <w:t>13</w:t>
      </w:r>
      <w:r w:rsidRPr="006436A9">
        <w:rPr>
          <w:rFonts w:ascii="Times New Roman" w:eastAsia="Times New Roman" w:hAnsi="Times New Roman" w:cs="Times New Roman"/>
          <w:sz w:val="24"/>
          <w:szCs w:val="24"/>
        </w:rPr>
        <w:t xml:space="preserve">C, to H. </w:t>
      </w:r>
      <w:proofErr w:type="spellStart"/>
      <w:r w:rsidRPr="006436A9">
        <w:rPr>
          <w:rFonts w:ascii="Times New Roman" w:eastAsia="Times New Roman" w:hAnsi="Times New Roman" w:cs="Times New Roman"/>
          <w:sz w:val="24"/>
          <w:szCs w:val="24"/>
        </w:rPr>
        <w:t>Stanjek</w:t>
      </w:r>
      <w:proofErr w:type="spellEnd"/>
      <w:r w:rsidRPr="006436A9">
        <w:rPr>
          <w:rFonts w:ascii="Times New Roman" w:eastAsia="Times New Roman" w:hAnsi="Times New Roman" w:cs="Times New Roman"/>
          <w:sz w:val="24"/>
          <w:szCs w:val="24"/>
        </w:rPr>
        <w:t xml:space="preserve">, Aachen, for his help with XRD analyses and to E. </w:t>
      </w:r>
      <w:proofErr w:type="spellStart"/>
      <w:r w:rsidRPr="006436A9">
        <w:rPr>
          <w:rFonts w:ascii="Times New Roman" w:eastAsia="Times New Roman" w:hAnsi="Times New Roman" w:cs="Times New Roman"/>
          <w:sz w:val="24"/>
          <w:szCs w:val="24"/>
        </w:rPr>
        <w:t>Späth</w:t>
      </w:r>
      <w:proofErr w:type="spellEnd"/>
      <w:r w:rsidRPr="006436A9">
        <w:rPr>
          <w:rFonts w:ascii="Times New Roman" w:eastAsia="Times New Roman" w:hAnsi="Times New Roman" w:cs="Times New Roman"/>
          <w:sz w:val="24"/>
          <w:szCs w:val="24"/>
        </w:rPr>
        <w:t xml:space="preserve"> and St. Schmidt from the Water Authority Hof for providing additional water chemical</w:t>
      </w:r>
    </w:p>
    <w:p w:rsidR="00B77918" w:rsidRDefault="00B77918"/>
    <w:sectPr w:rsidR="00B77918">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6A9"/>
    <w:rsid w:val="006436A9"/>
    <w:rsid w:val="00B779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1C060"/>
  <w15:chartTrackingRefBased/>
  <w15:docId w15:val="{6D13E739-CA44-45C5-8607-A529C3935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540824">
      <w:bodyDiv w:val="1"/>
      <w:marLeft w:val="0"/>
      <w:marRight w:val="0"/>
      <w:marTop w:val="0"/>
      <w:marBottom w:val="0"/>
      <w:divBdr>
        <w:top w:val="none" w:sz="0" w:space="0" w:color="auto"/>
        <w:left w:val="none" w:sz="0" w:space="0" w:color="auto"/>
        <w:bottom w:val="none" w:sz="0" w:space="0" w:color="auto"/>
        <w:right w:val="none" w:sz="0" w:space="0" w:color="auto"/>
      </w:divBdr>
      <w:divsChild>
        <w:div w:id="1085373747">
          <w:marLeft w:val="0"/>
          <w:marRight w:val="0"/>
          <w:marTop w:val="0"/>
          <w:marBottom w:val="0"/>
          <w:divBdr>
            <w:top w:val="none" w:sz="0" w:space="0" w:color="auto"/>
            <w:left w:val="none" w:sz="0" w:space="0" w:color="auto"/>
            <w:bottom w:val="none" w:sz="0" w:space="0" w:color="auto"/>
            <w:right w:val="none" w:sz="0" w:space="0" w:color="auto"/>
          </w:divBdr>
          <w:divsChild>
            <w:div w:id="1717730711">
              <w:marLeft w:val="0"/>
              <w:marRight w:val="0"/>
              <w:marTop w:val="0"/>
              <w:marBottom w:val="0"/>
              <w:divBdr>
                <w:top w:val="none" w:sz="0" w:space="0" w:color="auto"/>
                <w:left w:val="none" w:sz="0" w:space="0" w:color="auto"/>
                <w:bottom w:val="none" w:sz="0" w:space="0" w:color="auto"/>
                <w:right w:val="none" w:sz="0" w:space="0" w:color="auto"/>
              </w:divBdr>
              <w:divsChild>
                <w:div w:id="2135832893">
                  <w:marLeft w:val="0"/>
                  <w:marRight w:val="0"/>
                  <w:marTop w:val="0"/>
                  <w:marBottom w:val="0"/>
                  <w:divBdr>
                    <w:top w:val="none" w:sz="0" w:space="0" w:color="auto"/>
                    <w:left w:val="none" w:sz="0" w:space="0" w:color="auto"/>
                    <w:bottom w:val="none" w:sz="0" w:space="0" w:color="auto"/>
                    <w:right w:val="none" w:sz="0" w:space="0" w:color="auto"/>
                  </w:divBdr>
                  <w:divsChild>
                    <w:div w:id="113961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237378">
          <w:marLeft w:val="0"/>
          <w:marRight w:val="0"/>
          <w:marTop w:val="0"/>
          <w:marBottom w:val="0"/>
          <w:divBdr>
            <w:top w:val="none" w:sz="0" w:space="0" w:color="auto"/>
            <w:left w:val="none" w:sz="0" w:space="0" w:color="auto"/>
            <w:bottom w:val="none" w:sz="0" w:space="0" w:color="auto"/>
            <w:right w:val="none" w:sz="0" w:space="0" w:color="auto"/>
          </w:divBdr>
          <w:divsChild>
            <w:div w:id="1951815840">
              <w:marLeft w:val="0"/>
              <w:marRight w:val="0"/>
              <w:marTop w:val="0"/>
              <w:marBottom w:val="0"/>
              <w:divBdr>
                <w:top w:val="none" w:sz="0" w:space="0" w:color="auto"/>
                <w:left w:val="none" w:sz="0" w:space="0" w:color="auto"/>
                <w:bottom w:val="none" w:sz="0" w:space="0" w:color="auto"/>
                <w:right w:val="none" w:sz="0" w:space="0" w:color="auto"/>
              </w:divBdr>
              <w:divsChild>
                <w:div w:id="505480712">
                  <w:marLeft w:val="0"/>
                  <w:marRight w:val="0"/>
                  <w:marTop w:val="0"/>
                  <w:marBottom w:val="0"/>
                  <w:divBdr>
                    <w:top w:val="none" w:sz="0" w:space="0" w:color="auto"/>
                    <w:left w:val="none" w:sz="0" w:space="0" w:color="auto"/>
                    <w:bottom w:val="none" w:sz="0" w:space="0" w:color="auto"/>
                    <w:right w:val="none" w:sz="0" w:space="0" w:color="auto"/>
                  </w:divBdr>
                  <w:divsChild>
                    <w:div w:id="123131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195286">
          <w:marLeft w:val="0"/>
          <w:marRight w:val="0"/>
          <w:marTop w:val="0"/>
          <w:marBottom w:val="0"/>
          <w:divBdr>
            <w:top w:val="none" w:sz="0" w:space="0" w:color="auto"/>
            <w:left w:val="none" w:sz="0" w:space="0" w:color="auto"/>
            <w:bottom w:val="none" w:sz="0" w:space="0" w:color="auto"/>
            <w:right w:val="none" w:sz="0" w:space="0" w:color="auto"/>
          </w:divBdr>
          <w:divsChild>
            <w:div w:id="858081552">
              <w:marLeft w:val="0"/>
              <w:marRight w:val="0"/>
              <w:marTop w:val="0"/>
              <w:marBottom w:val="0"/>
              <w:divBdr>
                <w:top w:val="none" w:sz="0" w:space="0" w:color="auto"/>
                <w:left w:val="none" w:sz="0" w:space="0" w:color="auto"/>
                <w:bottom w:val="none" w:sz="0" w:space="0" w:color="auto"/>
                <w:right w:val="none" w:sz="0" w:space="0" w:color="auto"/>
              </w:divBdr>
            </w:div>
          </w:divsChild>
        </w:div>
        <w:div w:id="80761098">
          <w:marLeft w:val="0"/>
          <w:marRight w:val="0"/>
          <w:marTop w:val="0"/>
          <w:marBottom w:val="0"/>
          <w:divBdr>
            <w:top w:val="none" w:sz="0" w:space="0" w:color="auto"/>
            <w:left w:val="none" w:sz="0" w:space="0" w:color="auto"/>
            <w:bottom w:val="none" w:sz="0" w:space="0" w:color="auto"/>
            <w:right w:val="none" w:sz="0" w:space="0" w:color="auto"/>
          </w:divBdr>
          <w:divsChild>
            <w:div w:id="1559979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autocorrelation"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aragon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dissolved-inorganic-carbon"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isotopic-composition" TargetMode="External"/><Relationship Id="rId10" Type="http://schemas.openxmlformats.org/officeDocument/2006/relationships/fontTable" Target="fontTable.xml"/><Relationship Id="rId4" Type="http://schemas.openxmlformats.org/officeDocument/2006/relationships/hyperlink" Target="https://doi.org/10.1016/j.gca.2005.03.010" TargetMode="External"/><Relationship Id="rId9" Type="http://schemas.openxmlformats.org/officeDocument/2006/relationships/hyperlink" Target="https://www.sciencedirect.com/topics/earth-and-planetary-sciences/aragon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1532</Words>
  <Characters>8736</Characters>
  <Application>Microsoft Office Word</Application>
  <DocSecurity>0</DocSecurity>
  <Lines>72</Lines>
  <Paragraphs>20</Paragraphs>
  <ScaleCrop>false</ScaleCrop>
  <Company/>
  <LinksUpToDate>false</LinksUpToDate>
  <CharactersWithSpaces>10248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2023-11-18T06:39:00Z</dcterms:created>
  <dcterms:modified xsi:type="dcterms:W3CDTF">2023-11-18T06:40:00Z</dcterms:modified>
</cp:coreProperties>
</file>