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60185" w:rsidRPr="00160185" w:rsidRDefault="00160185" w:rsidP="0016018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60185">
        <w:rPr>
          <w:rFonts w:ascii="Times New Roman" w:eastAsia="Times New Roman" w:hAnsi="Times New Roman" w:cs="Times New Roman"/>
          <w:b/>
          <w:bCs/>
          <w:kern w:val="36"/>
          <w:sz w:val="48"/>
          <w:szCs w:val="48"/>
        </w:rPr>
        <w:t>Clay mineral weathering and contaminant dynamics in a caustic aqueous system: I. Wet chemistry and aging effects</w:t>
      </w:r>
    </w:p>
    <w:p w:rsidR="00160185" w:rsidRPr="00160185" w:rsidRDefault="00160185" w:rsidP="00160185">
      <w:pPr>
        <w:spacing w:after="0"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Author links open overlay panel</w:t>
      </w:r>
    </w:p>
    <w:p w:rsidR="00160185" w:rsidRPr="00160185" w:rsidRDefault="00160185" w:rsidP="00160185">
      <w:pPr>
        <w:spacing w:after="0"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 , </w:t>
      </w:r>
    </w:p>
    <w:p w:rsidR="00160185" w:rsidRPr="00160185" w:rsidRDefault="00160185" w:rsidP="0016018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60185">
          <w:rPr>
            <w:rFonts w:ascii="Times New Roman" w:eastAsia="Times New Roman" w:hAnsi="Times New Roman" w:cs="Times New Roman"/>
            <w:color w:val="0000FF"/>
            <w:sz w:val="24"/>
            <w:szCs w:val="24"/>
            <w:u w:val="single"/>
          </w:rPr>
          <w:t>https://doi.org/10.1016/j.gca.2005.04.003</w:t>
        </w:r>
      </w:hyperlink>
      <w:bookmarkStart w:id="0" w:name="_GoBack"/>
      <w:bookmarkEnd w:id="0"/>
      <w:r w:rsidRPr="00160185">
        <w:rPr>
          <w:rFonts w:ascii="Times New Roman" w:eastAsia="Times New Roman" w:hAnsi="Times New Roman" w:cs="Times New Roman"/>
          <w:sz w:val="24"/>
          <w:szCs w:val="24"/>
        </w:rPr>
        <w:t xml:space="preserve"> </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Abstract</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Caustic high level </w:t>
      </w:r>
      <w:hyperlink r:id="rId5" w:tooltip="Learn more about radioactive waste from ScienceDirect's AI-generated Topic Pages" w:history="1">
        <w:r w:rsidRPr="00160185">
          <w:rPr>
            <w:rFonts w:ascii="Times New Roman" w:eastAsia="Times New Roman" w:hAnsi="Times New Roman" w:cs="Times New Roman"/>
            <w:color w:val="0000FF"/>
            <w:sz w:val="24"/>
            <w:szCs w:val="24"/>
            <w:u w:val="single"/>
          </w:rPr>
          <w:t>radioactive waste</w:t>
        </w:r>
      </w:hyperlink>
      <w:r w:rsidRPr="00160185">
        <w:rPr>
          <w:rFonts w:ascii="Times New Roman" w:eastAsia="Times New Roman" w:hAnsi="Times New Roman" w:cs="Times New Roman"/>
          <w:sz w:val="24"/>
          <w:szCs w:val="24"/>
        </w:rPr>
        <w:t xml:space="preserve"> induces mineral weathering reactions that can influence the fate of </w:t>
      </w:r>
      <w:hyperlink r:id="rId6" w:tooltip="Learn more about radionuclides from ScienceDirect's AI-generated Topic Pages" w:history="1">
        <w:r w:rsidRPr="00160185">
          <w:rPr>
            <w:rFonts w:ascii="Times New Roman" w:eastAsia="Times New Roman" w:hAnsi="Times New Roman" w:cs="Times New Roman"/>
            <w:color w:val="0000FF"/>
            <w:sz w:val="24"/>
            <w:szCs w:val="24"/>
            <w:u w:val="single"/>
          </w:rPr>
          <w:t>radionuclides</w:t>
        </w:r>
      </w:hyperlink>
      <w:r w:rsidRPr="00160185">
        <w:rPr>
          <w:rFonts w:ascii="Times New Roman" w:eastAsia="Times New Roman" w:hAnsi="Times New Roman" w:cs="Times New Roman"/>
          <w:sz w:val="24"/>
          <w:szCs w:val="24"/>
        </w:rPr>
        <w:t xml:space="preserve"> released in the vicinity of leaking storage tanks. The uptake and release of </w:t>
      </w:r>
      <w:proofErr w:type="spellStart"/>
      <w:r w:rsidRPr="00160185">
        <w:rPr>
          <w:rFonts w:ascii="Times New Roman" w:eastAsia="Times New Roman" w:hAnsi="Times New Roman" w:cs="Times New Roman"/>
          <w:sz w:val="24"/>
          <w:szCs w:val="24"/>
        </w:rPr>
        <w:t>Cs</w:t>
      </w:r>
      <w:r w:rsidRPr="00160185">
        <w:rPr>
          <w:rFonts w:ascii="Times New Roman" w:eastAsia="Times New Roman" w:hAnsi="Times New Roman" w:cs="Times New Roman"/>
          <w:sz w:val="24"/>
          <w:szCs w:val="24"/>
          <w:vertAlign w:val="superscript"/>
        </w:rPr>
        <w:t>I</w:t>
      </w:r>
      <w:proofErr w:type="spellEnd"/>
      <w:r w:rsidRPr="00160185">
        <w:rPr>
          <w:rFonts w:ascii="Times New Roman" w:eastAsia="Times New Roman" w:hAnsi="Times New Roman" w:cs="Times New Roman"/>
          <w:sz w:val="24"/>
          <w:szCs w:val="24"/>
        </w:rPr>
        <w:t xml:space="preserve"> and </w:t>
      </w:r>
      <w:proofErr w:type="spellStart"/>
      <w:r w:rsidRPr="00160185">
        <w:rPr>
          <w:rFonts w:ascii="Times New Roman" w:eastAsia="Times New Roman" w:hAnsi="Times New Roman" w:cs="Times New Roman"/>
          <w:sz w:val="24"/>
          <w:szCs w:val="24"/>
        </w:rPr>
        <w:t>Sr</w:t>
      </w:r>
      <w:r w:rsidRPr="00160185">
        <w:rPr>
          <w:rFonts w:ascii="Times New Roman" w:eastAsia="Times New Roman" w:hAnsi="Times New Roman" w:cs="Times New Roman"/>
          <w:sz w:val="24"/>
          <w:szCs w:val="24"/>
          <w:vertAlign w:val="superscript"/>
        </w:rPr>
        <w:t>II</w:t>
      </w:r>
      <w:proofErr w:type="spellEnd"/>
      <w:r w:rsidRPr="00160185">
        <w:rPr>
          <w:rFonts w:ascii="Times New Roman" w:eastAsia="Times New Roman" w:hAnsi="Times New Roman" w:cs="Times New Roman"/>
          <w:sz w:val="24"/>
          <w:szCs w:val="24"/>
        </w:rPr>
        <w:t xml:space="preserve"> were studied in batch reactors of 2:1 layer-type silicates—</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(Il), </w:t>
      </w:r>
      <w:hyperlink r:id="rId7" w:tooltip="Learn more about vermiculite from ScienceDirect's AI-generated Topic Pages" w:history="1">
        <w:r w:rsidRPr="00160185">
          <w:rPr>
            <w:rFonts w:ascii="Times New Roman" w:eastAsia="Times New Roman" w:hAnsi="Times New Roman" w:cs="Times New Roman"/>
            <w:color w:val="0000FF"/>
            <w:sz w:val="24"/>
            <w:szCs w:val="24"/>
            <w:u w:val="single"/>
          </w:rPr>
          <w:t>vermiculite</w:t>
        </w:r>
      </w:hyperlink>
      <w:r w:rsidRPr="00160185">
        <w:rPr>
          <w:rFonts w:ascii="Times New Roman" w:eastAsia="Times New Roman" w:hAnsi="Times New Roman" w:cs="Times New Roman"/>
          <w:sz w:val="24"/>
          <w:szCs w:val="24"/>
        </w:rPr>
        <w:t xml:space="preserve">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and </w:t>
      </w:r>
      <w:hyperlink r:id="rId8" w:tooltip="Learn more about montmorillonite from ScienceDirect's AI-generated Topic Pages" w:history="1">
        <w:r w:rsidRPr="00160185">
          <w:rPr>
            <w:rFonts w:ascii="Times New Roman" w:eastAsia="Times New Roman" w:hAnsi="Times New Roman" w:cs="Times New Roman"/>
            <w:color w:val="0000FF"/>
            <w:sz w:val="24"/>
            <w:szCs w:val="24"/>
            <w:u w:val="single"/>
          </w:rPr>
          <w:t>montmorillonite</w:t>
        </w:r>
      </w:hyperlink>
      <w:r w:rsidRPr="00160185">
        <w:rPr>
          <w:rFonts w:ascii="Times New Roman" w:eastAsia="Times New Roman" w:hAnsi="Times New Roman" w:cs="Times New Roman"/>
          <w:sz w:val="24"/>
          <w:szCs w:val="24"/>
        </w:rPr>
        <w:t xml:space="preserve"> (Mt)—under geochemical conditions characteristic of leaking tank waste at the Hanford Site in WA (0.05 </w:t>
      </w:r>
      <w:r w:rsidRPr="00160185">
        <w:rPr>
          <w:rFonts w:ascii="Times New Roman" w:eastAsia="Times New Roman" w:hAnsi="Times New Roman" w:cs="Times New Roman"/>
          <w:i/>
          <w:iCs/>
          <w:sz w:val="24"/>
          <w:szCs w:val="24"/>
        </w:rPr>
        <w:t>m</w:t>
      </w:r>
      <w:r w:rsidRPr="00160185">
        <w:rPr>
          <w:rFonts w:ascii="Times New Roman" w:eastAsia="Times New Roman" w:hAnsi="Times New Roman" w:cs="Times New Roman"/>
          <w:sz w:val="24"/>
          <w:szCs w:val="24"/>
        </w:rPr>
        <w:t xml:space="preserve"> </w:t>
      </w:r>
      <w:proofErr w:type="spellStart"/>
      <w:r w:rsidRPr="00160185">
        <w:rPr>
          <w:rFonts w:ascii="Times New Roman" w:eastAsia="Times New Roman" w:hAnsi="Times New Roman" w:cs="Times New Roman"/>
          <w:sz w:val="24"/>
          <w:szCs w:val="24"/>
        </w:rPr>
        <w:t>Al</w:t>
      </w:r>
      <w:r w:rsidRPr="00160185">
        <w:rPr>
          <w:rFonts w:ascii="Times New Roman" w:eastAsia="Times New Roman" w:hAnsi="Times New Roman" w:cs="Times New Roman"/>
          <w:sz w:val="24"/>
          <w:szCs w:val="24"/>
          <w:vertAlign w:val="subscript"/>
        </w:rPr>
        <w:t>T</w:t>
      </w:r>
      <w:proofErr w:type="spellEnd"/>
      <w:r w:rsidRPr="00160185">
        <w:rPr>
          <w:rFonts w:ascii="Times New Roman" w:eastAsia="Times New Roman" w:hAnsi="Times New Roman" w:cs="Times New Roman"/>
          <w:sz w:val="24"/>
          <w:szCs w:val="24"/>
        </w:rPr>
        <w:t xml:space="preserve">, 2 </w:t>
      </w:r>
      <w:r w:rsidRPr="00160185">
        <w:rPr>
          <w:rFonts w:ascii="Times New Roman" w:eastAsia="Times New Roman" w:hAnsi="Times New Roman" w:cs="Times New Roman"/>
          <w:i/>
          <w:iCs/>
          <w:sz w:val="24"/>
          <w:szCs w:val="24"/>
        </w:rPr>
        <w:t>m</w:t>
      </w:r>
      <w:r w:rsidRPr="00160185">
        <w:rPr>
          <w:rFonts w:ascii="Times New Roman" w:eastAsia="Times New Roman" w:hAnsi="Times New Roman" w:cs="Times New Roman"/>
          <w:sz w:val="24"/>
          <w:szCs w:val="24"/>
        </w:rPr>
        <w:t xml:space="preserve"> Na</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1 </w:t>
      </w:r>
      <w:r w:rsidRPr="00160185">
        <w:rPr>
          <w:rFonts w:ascii="Times New Roman" w:eastAsia="Times New Roman" w:hAnsi="Times New Roman" w:cs="Times New Roman"/>
          <w:i/>
          <w:iCs/>
          <w:sz w:val="24"/>
          <w:szCs w:val="24"/>
        </w:rPr>
        <w:t>m</w:t>
      </w:r>
      <w:r w:rsidRPr="00160185">
        <w:rPr>
          <w:rFonts w:ascii="Times New Roman" w:eastAsia="Times New Roman" w:hAnsi="Times New Roman" w:cs="Times New Roman"/>
          <w:sz w:val="24"/>
          <w:szCs w:val="24"/>
        </w:rPr>
        <w:t xml:space="preserve"> NO</w:t>
      </w:r>
      <w:r w:rsidRPr="00160185">
        <w:rPr>
          <w:rFonts w:ascii="Times New Roman" w:eastAsia="Times New Roman" w:hAnsi="Times New Roman" w:cs="Times New Roman"/>
          <w:sz w:val="24"/>
          <w:szCs w:val="24"/>
          <w:vertAlign w:val="subscript"/>
        </w:rPr>
        <w:t>3</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pH </w:t>
      </w:r>
      <w:r w:rsidRPr="00160185">
        <w:rPr>
          <w:rFonts w:ascii="Cambria Math" w:eastAsia="Times New Roman" w:hAnsi="Cambria Math" w:cs="Cambria Math"/>
          <w:sz w:val="24"/>
          <w:szCs w:val="24"/>
        </w:rPr>
        <w:t>∼</w:t>
      </w:r>
      <w:r w:rsidRPr="00160185">
        <w:rPr>
          <w:rFonts w:ascii="Times New Roman" w:eastAsia="Times New Roman" w:hAnsi="Times New Roman" w:cs="Times New Roman"/>
          <w:sz w:val="24"/>
          <w:szCs w:val="24"/>
        </w:rPr>
        <w:t>14, Cs and Sr present as co-contaminants). Time series (0 to 369 d) experiments were conducted at 298 K, with initial [Cs]</w:t>
      </w:r>
      <w:r w:rsidRPr="00160185">
        <w:rPr>
          <w:rFonts w:ascii="Times New Roman" w:eastAsia="Times New Roman" w:hAnsi="Times New Roman" w:cs="Times New Roman"/>
          <w:sz w:val="24"/>
          <w:szCs w:val="24"/>
          <w:vertAlign w:val="subscript"/>
        </w:rPr>
        <w:t>0</w:t>
      </w:r>
      <w:r w:rsidRPr="00160185">
        <w:rPr>
          <w:rFonts w:ascii="Times New Roman" w:eastAsia="Times New Roman" w:hAnsi="Times New Roman" w:cs="Times New Roman"/>
          <w:sz w:val="24"/>
          <w:szCs w:val="24"/>
        </w:rPr>
        <w:t xml:space="preserve"> and [Sr]</w:t>
      </w:r>
      <w:r w:rsidRPr="00160185">
        <w:rPr>
          <w:rFonts w:ascii="Times New Roman" w:eastAsia="Times New Roman" w:hAnsi="Times New Roman" w:cs="Times New Roman"/>
          <w:sz w:val="24"/>
          <w:szCs w:val="24"/>
          <w:vertAlign w:val="subscript"/>
        </w:rPr>
        <w:t>0</w:t>
      </w:r>
      <w:r w:rsidRPr="00160185">
        <w:rPr>
          <w:rFonts w:ascii="Times New Roman" w:eastAsia="Times New Roman" w:hAnsi="Times New Roman" w:cs="Times New Roman"/>
          <w:sz w:val="24"/>
          <w:szCs w:val="24"/>
        </w:rPr>
        <w:t xml:space="preserve"> concentrations from 10</w:t>
      </w:r>
      <w:r w:rsidRPr="00160185">
        <w:rPr>
          <w:rFonts w:ascii="Times New Roman" w:eastAsia="Times New Roman" w:hAnsi="Times New Roman" w:cs="Times New Roman"/>
          <w:sz w:val="24"/>
          <w:szCs w:val="24"/>
          <w:vertAlign w:val="superscript"/>
        </w:rPr>
        <w:t>−5</w:t>
      </w:r>
      <w:r w:rsidRPr="00160185">
        <w:rPr>
          <w:rFonts w:ascii="Times New Roman" w:eastAsia="Times New Roman" w:hAnsi="Times New Roman" w:cs="Times New Roman"/>
          <w:sz w:val="24"/>
          <w:szCs w:val="24"/>
        </w:rPr>
        <w:t xml:space="preserve"> to 10</w:t>
      </w:r>
      <w:r w:rsidRPr="00160185">
        <w:rPr>
          <w:rFonts w:ascii="Times New Roman" w:eastAsia="Times New Roman" w:hAnsi="Times New Roman" w:cs="Times New Roman"/>
          <w:sz w:val="24"/>
          <w:szCs w:val="24"/>
          <w:vertAlign w:val="superscript"/>
        </w:rPr>
        <w:t>−3</w:t>
      </w:r>
      <w:r w:rsidRPr="00160185">
        <w:rPr>
          <w:rFonts w:ascii="Times New Roman" w:eastAsia="Times New Roman" w:hAnsi="Times New Roman" w:cs="Times New Roman"/>
          <w:sz w:val="24"/>
          <w:szCs w:val="24"/>
        </w:rPr>
        <w:t xml:space="preserve"> mol kg</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Clay mineral type affected the rates of (</w:t>
      </w:r>
      <w:proofErr w:type="spellStart"/>
      <w:r w:rsidRPr="00160185">
        <w:rPr>
          <w:rFonts w:ascii="Times New Roman" w:eastAsia="Times New Roman" w:hAnsi="Times New Roman" w:cs="Times New Roman"/>
          <w:sz w:val="24"/>
          <w:szCs w:val="24"/>
        </w:rPr>
        <w:t>i</w:t>
      </w:r>
      <w:proofErr w:type="spellEnd"/>
      <w:r w:rsidRPr="00160185">
        <w:rPr>
          <w:rFonts w:ascii="Times New Roman" w:eastAsia="Times New Roman" w:hAnsi="Times New Roman" w:cs="Times New Roman"/>
          <w:sz w:val="24"/>
          <w:szCs w:val="24"/>
        </w:rPr>
        <w:t xml:space="preserve">) hydroxide promoted dissolution of Si, Al and Fe, (ii) precipitation of secondary solids and (iii) uptake of Cs and Sr. Initial Si release to solution followed the order Mt &gt;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&gt; Il. An abrupt decrease in soluble Si and/or Al after 33 d for Mt and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systems, and after 190 d for Il suspensions was concurrent with accumulation of secondary </w:t>
      </w:r>
      <w:hyperlink r:id="rId9" w:tooltip="Learn more about aluminosilicate from ScienceDirect's AI-generated Topic Pages" w:history="1">
        <w:r w:rsidRPr="00160185">
          <w:rPr>
            <w:rFonts w:ascii="Times New Roman" w:eastAsia="Times New Roman" w:hAnsi="Times New Roman" w:cs="Times New Roman"/>
            <w:color w:val="0000FF"/>
            <w:sz w:val="24"/>
            <w:szCs w:val="24"/>
            <w:u w:val="single"/>
          </w:rPr>
          <w:t>aluminosilicate</w:t>
        </w:r>
      </w:hyperlink>
      <w:r w:rsidRPr="00160185">
        <w:rPr>
          <w:rFonts w:ascii="Times New Roman" w:eastAsia="Times New Roman" w:hAnsi="Times New Roman" w:cs="Times New Roman"/>
          <w:sz w:val="24"/>
          <w:szCs w:val="24"/>
        </w:rPr>
        <w:t xml:space="preserve"> precipitates. Strontium uptake exceeded that of Cs in both rate and extent, although </w:t>
      </w:r>
      <w:proofErr w:type="spellStart"/>
      <w:r w:rsidRPr="00160185">
        <w:rPr>
          <w:rFonts w:ascii="Times New Roman" w:eastAsia="Times New Roman" w:hAnsi="Times New Roman" w:cs="Times New Roman"/>
          <w:sz w:val="24"/>
          <w:szCs w:val="24"/>
        </w:rPr>
        <w:t>sorbed</w:t>
      </w:r>
      <w:proofErr w:type="spellEnd"/>
      <w:r w:rsidRPr="00160185">
        <w:rPr>
          <w:rFonts w:ascii="Times New Roman" w:eastAsia="Times New Roman" w:hAnsi="Times New Roman" w:cs="Times New Roman"/>
          <w:sz w:val="24"/>
          <w:szCs w:val="24"/>
        </w:rPr>
        <w:t xml:space="preserve"> Cs was generally more recalcitrant to subsequent desorption and dissolution. After 369 d reaction time, reacted Il,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and Mt solids retained up to 17, 47 and 14 mmol kg</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xml:space="preserve"> (0.18, 0.24 and 0.02 </w:t>
      </w:r>
      <w:proofErr w:type="spellStart"/>
      <w:r w:rsidRPr="00160185">
        <w:rPr>
          <w:rFonts w:ascii="Times New Roman" w:eastAsia="Times New Roman" w:hAnsi="Times New Roman" w:cs="Times New Roman"/>
          <w:sz w:val="24"/>
          <w:szCs w:val="24"/>
        </w:rPr>
        <w:t>μmol</w:t>
      </w:r>
      <w:proofErr w:type="spellEnd"/>
      <w:r w:rsidRPr="00160185">
        <w:rPr>
          <w:rFonts w:ascii="Times New Roman" w:eastAsia="Times New Roman" w:hAnsi="Times New Roman" w:cs="Times New Roman"/>
          <w:sz w:val="24"/>
          <w:szCs w:val="24"/>
        </w:rPr>
        <w:t xml:space="preserve"> m</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of Cs, and 0, 27 and 22 mmol kg</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xml:space="preserve"> (0, 0.14 and 0.03 </w:t>
      </w:r>
      <w:proofErr w:type="spellStart"/>
      <w:r w:rsidRPr="00160185">
        <w:rPr>
          <w:rFonts w:ascii="Times New Roman" w:eastAsia="Times New Roman" w:hAnsi="Times New Roman" w:cs="Times New Roman"/>
          <w:sz w:val="24"/>
          <w:szCs w:val="24"/>
        </w:rPr>
        <w:t>μmol</w:t>
      </w:r>
      <w:proofErr w:type="spellEnd"/>
      <w:r w:rsidRPr="00160185">
        <w:rPr>
          <w:rFonts w:ascii="Times New Roman" w:eastAsia="Times New Roman" w:hAnsi="Times New Roman" w:cs="Times New Roman"/>
          <w:sz w:val="24"/>
          <w:szCs w:val="24"/>
        </w:rPr>
        <w:t xml:space="preserve"> m</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Sr, respectively, which were not removed in subsequent Mg exchange or </w:t>
      </w:r>
      <w:hyperlink r:id="rId10" w:tooltip="Learn more about oxalic acid from ScienceDirect's AI-generated Topic Pages" w:history="1">
        <w:r w:rsidRPr="00160185">
          <w:rPr>
            <w:rFonts w:ascii="Times New Roman" w:eastAsia="Times New Roman" w:hAnsi="Times New Roman" w:cs="Times New Roman"/>
            <w:color w:val="0000FF"/>
            <w:sz w:val="24"/>
            <w:szCs w:val="24"/>
            <w:u w:val="single"/>
          </w:rPr>
          <w:t>oxalic acid</w:t>
        </w:r>
      </w:hyperlink>
      <w:r w:rsidRPr="00160185">
        <w:rPr>
          <w:rFonts w:ascii="Times New Roman" w:eastAsia="Times New Roman" w:hAnsi="Times New Roman" w:cs="Times New Roman"/>
          <w:sz w:val="24"/>
          <w:szCs w:val="24"/>
        </w:rPr>
        <w:t xml:space="preserve"> dissolution reactions. Solubility of Al and Si decreased with initial Cs and Sr concentration in Mt and Il, but not in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High co-contaminant </w:t>
      </w:r>
      <w:hyperlink r:id="rId11" w:tooltip="Learn more about sorption from ScienceDirect's AI-generated Topic Pages" w:history="1">
        <w:r w:rsidRPr="00160185">
          <w:rPr>
            <w:rFonts w:ascii="Times New Roman" w:eastAsia="Times New Roman" w:hAnsi="Times New Roman" w:cs="Times New Roman"/>
            <w:color w:val="0000FF"/>
            <w:sz w:val="24"/>
            <w:szCs w:val="24"/>
            <w:u w:val="single"/>
          </w:rPr>
          <w:t>sorption</w:t>
        </w:r>
      </w:hyperlink>
      <w:r w:rsidRPr="00160185">
        <w:rPr>
          <w:rFonts w:ascii="Times New Roman" w:eastAsia="Times New Roman" w:hAnsi="Times New Roman" w:cs="Times New Roman"/>
          <w:sz w:val="24"/>
          <w:szCs w:val="24"/>
        </w:rPr>
        <w:t xml:space="preserve"> to the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clay, therefore, appears to diminish the influence of those ions on mineral transformation rates.</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Introduction</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Accidental leakage of high level radioactive waste (HLRW) into the subsurface has occurred at several Department of Energy (DOE) sites, including the Hanford Site, WA, the Savannah River Site, GA, and the Oak Ridge Site, TN, because of waste tank overfilling, transfer line breakage and tank failure (McKinley et al., 2001). This has resulted in the introduction of highly-caustic, radionuclide-containing solutions into underlying sediments and soils. At the Hanford Site, the bulk of the radioactivity released to the vadose zone is present as </w:t>
      </w:r>
      <w:r w:rsidRPr="00160185">
        <w:rPr>
          <w:rFonts w:ascii="Times New Roman" w:eastAsia="Times New Roman" w:hAnsi="Times New Roman" w:cs="Times New Roman"/>
          <w:sz w:val="24"/>
          <w:szCs w:val="24"/>
          <w:vertAlign w:val="superscript"/>
        </w:rPr>
        <w:t>137</w:t>
      </w:r>
      <w:r w:rsidRPr="00160185">
        <w:rPr>
          <w:rFonts w:ascii="Times New Roman" w:eastAsia="Times New Roman" w:hAnsi="Times New Roman" w:cs="Times New Roman"/>
          <w:sz w:val="24"/>
          <w:szCs w:val="24"/>
        </w:rPr>
        <w:t xml:space="preserve">Cs and </w:t>
      </w:r>
      <w:r w:rsidRPr="00160185">
        <w:rPr>
          <w:rFonts w:ascii="Times New Roman" w:eastAsia="Times New Roman" w:hAnsi="Times New Roman" w:cs="Times New Roman"/>
          <w:sz w:val="24"/>
          <w:szCs w:val="24"/>
          <w:vertAlign w:val="superscript"/>
        </w:rPr>
        <w:t>90</w:t>
      </w:r>
      <w:r w:rsidRPr="00160185">
        <w:rPr>
          <w:rFonts w:ascii="Times New Roman" w:eastAsia="Times New Roman" w:hAnsi="Times New Roman" w:cs="Times New Roman"/>
          <w:sz w:val="24"/>
          <w:szCs w:val="24"/>
        </w:rPr>
        <w:t>Sr in concentrations up to parts per million (</w:t>
      </w:r>
      <w:proofErr w:type="spellStart"/>
      <w:r w:rsidRPr="00160185">
        <w:rPr>
          <w:rFonts w:ascii="Times New Roman" w:eastAsia="Times New Roman" w:hAnsi="Times New Roman" w:cs="Times New Roman"/>
          <w:sz w:val="24"/>
          <w:szCs w:val="24"/>
        </w:rPr>
        <w:t>Serne</w:t>
      </w:r>
      <w:proofErr w:type="spellEnd"/>
      <w:r w:rsidRPr="00160185">
        <w:rPr>
          <w:rFonts w:ascii="Times New Roman" w:eastAsia="Times New Roman" w:hAnsi="Times New Roman" w:cs="Times New Roman"/>
          <w:sz w:val="24"/>
          <w:szCs w:val="24"/>
        </w:rPr>
        <w:t xml:space="preserve"> et al., 2001a). Radionuclides </w:t>
      </w:r>
      <w:r w:rsidRPr="00160185">
        <w:rPr>
          <w:rFonts w:ascii="Times New Roman" w:eastAsia="Times New Roman" w:hAnsi="Times New Roman" w:cs="Times New Roman"/>
          <w:sz w:val="24"/>
          <w:szCs w:val="24"/>
          <w:vertAlign w:val="superscript"/>
        </w:rPr>
        <w:t>137</w:t>
      </w:r>
      <w:r w:rsidRPr="00160185">
        <w:rPr>
          <w:rFonts w:ascii="Times New Roman" w:eastAsia="Times New Roman" w:hAnsi="Times New Roman" w:cs="Times New Roman"/>
          <w:sz w:val="24"/>
          <w:szCs w:val="24"/>
        </w:rPr>
        <w:t xml:space="preserve">Cs and </w:t>
      </w:r>
      <w:r w:rsidRPr="00160185">
        <w:rPr>
          <w:rFonts w:ascii="Times New Roman" w:eastAsia="Times New Roman" w:hAnsi="Times New Roman" w:cs="Times New Roman"/>
          <w:sz w:val="24"/>
          <w:szCs w:val="24"/>
          <w:vertAlign w:val="superscript"/>
        </w:rPr>
        <w:t>90</w:t>
      </w:r>
      <w:r w:rsidRPr="00160185">
        <w:rPr>
          <w:rFonts w:ascii="Times New Roman" w:eastAsia="Times New Roman" w:hAnsi="Times New Roman" w:cs="Times New Roman"/>
          <w:sz w:val="24"/>
          <w:szCs w:val="24"/>
        </w:rPr>
        <w:t xml:space="preserve">Sr are nuclear fission products that present a particular concern due to their high fission yields (6.18 and 5.77%) and long half-lives of 30.2 and 28.8 </w:t>
      </w:r>
      <w:proofErr w:type="spellStart"/>
      <w:r w:rsidRPr="00160185">
        <w:rPr>
          <w:rFonts w:ascii="Times New Roman" w:eastAsia="Times New Roman" w:hAnsi="Times New Roman" w:cs="Times New Roman"/>
          <w:sz w:val="24"/>
          <w:szCs w:val="24"/>
        </w:rPr>
        <w:t>yr</w:t>
      </w:r>
      <w:proofErr w:type="spellEnd"/>
      <w:r w:rsidRPr="00160185">
        <w:rPr>
          <w:rFonts w:ascii="Times New Roman" w:eastAsia="Times New Roman" w:hAnsi="Times New Roman" w:cs="Times New Roman"/>
          <w:sz w:val="24"/>
          <w:szCs w:val="24"/>
        </w:rPr>
        <w:t xml:space="preserve">, respectively. As a result of high reactive surface site density and high specific surface area, clay-sized mineral particles may retard the migration of these radionuclides in receiving sediments via adsorption and/or surface precipitation reactions (McKinley et al., 2002, </w:t>
      </w:r>
      <w:proofErr w:type="spellStart"/>
      <w:r w:rsidRPr="00160185">
        <w:rPr>
          <w:rFonts w:ascii="Times New Roman" w:eastAsia="Times New Roman" w:hAnsi="Times New Roman" w:cs="Times New Roman"/>
          <w:sz w:val="24"/>
          <w:szCs w:val="24"/>
        </w:rPr>
        <w:t>Steefel</w:t>
      </w:r>
      <w:proofErr w:type="spellEnd"/>
      <w:r w:rsidRPr="00160185">
        <w:rPr>
          <w:rFonts w:ascii="Times New Roman" w:eastAsia="Times New Roman" w:hAnsi="Times New Roman" w:cs="Times New Roman"/>
          <w:sz w:val="24"/>
          <w:szCs w:val="24"/>
        </w:rPr>
        <w:t xml:space="preserve"> et al., 2003).</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lastRenderedPageBreak/>
        <w:t>As a borderline Lewis acid of low ionic potential (</w:t>
      </w:r>
      <w:r w:rsidRPr="00160185">
        <w:rPr>
          <w:rFonts w:ascii="Times New Roman" w:eastAsia="Times New Roman" w:hAnsi="Times New Roman" w:cs="Times New Roman"/>
          <w:i/>
          <w:iCs/>
          <w:sz w:val="24"/>
          <w:szCs w:val="24"/>
        </w:rPr>
        <w:t>z/r</w:t>
      </w:r>
      <w:r w:rsidRPr="00160185">
        <w:rPr>
          <w:rFonts w:ascii="Times New Roman" w:eastAsia="Times New Roman" w:hAnsi="Times New Roman" w:cs="Times New Roman"/>
          <w:sz w:val="24"/>
          <w:szCs w:val="24"/>
        </w:rPr>
        <w:t xml:space="preserve"> = 6 nm</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Cs</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does not form strong complexes with hard Lewis base ligands, including surface hydroxyl groups of metal oxide surfaces. Instead, sorption to basal and interlayer surfaces of layer silicate clays tends to control its environmental fate (Kim et al., 1996). To a greater degree than smaller cations in group 1A (Li, Na), Cs forms inner-sphere complexes on charged ditrigonal siloxane sites that are similar in diameter to that of the ionic adsorbate (</w:t>
      </w:r>
      <w:proofErr w:type="spellStart"/>
      <w:r w:rsidRPr="00160185">
        <w:rPr>
          <w:rFonts w:ascii="Times New Roman" w:eastAsia="Times New Roman" w:hAnsi="Times New Roman" w:cs="Times New Roman"/>
          <w:sz w:val="24"/>
          <w:szCs w:val="24"/>
        </w:rPr>
        <w:t>Maes</w:t>
      </w:r>
      <w:proofErr w:type="spellEnd"/>
      <w:r w:rsidRPr="00160185">
        <w:rPr>
          <w:rFonts w:ascii="Times New Roman" w:eastAsia="Times New Roman" w:hAnsi="Times New Roman" w:cs="Times New Roman"/>
          <w:sz w:val="24"/>
          <w:szCs w:val="24"/>
        </w:rPr>
        <w:t xml:space="preserve"> and </w:t>
      </w:r>
      <w:proofErr w:type="spellStart"/>
      <w:r w:rsidRPr="00160185">
        <w:rPr>
          <w:rFonts w:ascii="Times New Roman" w:eastAsia="Times New Roman" w:hAnsi="Times New Roman" w:cs="Times New Roman"/>
          <w:sz w:val="24"/>
          <w:szCs w:val="24"/>
        </w:rPr>
        <w:t>Cremers</w:t>
      </w:r>
      <w:proofErr w:type="spellEnd"/>
      <w:r w:rsidRPr="00160185">
        <w:rPr>
          <w:rFonts w:ascii="Times New Roman" w:eastAsia="Times New Roman" w:hAnsi="Times New Roman" w:cs="Times New Roman"/>
          <w:sz w:val="24"/>
          <w:szCs w:val="24"/>
        </w:rPr>
        <w:t xml:space="preserve">, 1978, Kim and Kirkpatrick, 1997, Bostick et al., 2001, Sutton and </w:t>
      </w:r>
      <w:proofErr w:type="spellStart"/>
      <w:r w:rsidRPr="00160185">
        <w:rPr>
          <w:rFonts w:ascii="Times New Roman" w:eastAsia="Times New Roman" w:hAnsi="Times New Roman" w:cs="Times New Roman"/>
          <w:sz w:val="24"/>
          <w:szCs w:val="24"/>
        </w:rPr>
        <w:t>Sposito</w:t>
      </w:r>
      <w:proofErr w:type="spellEnd"/>
      <w:r w:rsidRPr="00160185">
        <w:rPr>
          <w:rFonts w:ascii="Times New Roman" w:eastAsia="Times New Roman" w:hAnsi="Times New Roman" w:cs="Times New Roman"/>
          <w:sz w:val="24"/>
          <w:szCs w:val="24"/>
        </w:rPr>
        <w:t>, 2001). Such surface complexes are favored by the low Cs</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hydration enthalpy (−263 kJ mol</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Like K</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Cs</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exhibits a high affinity for frayed-edge sites (FES) on partially weathered mica and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resulting in selectivity coefficients (</w:t>
      </w:r>
      <w:proofErr w:type="spellStart"/>
      <w:r w:rsidRPr="00160185">
        <w:rPr>
          <w:rFonts w:ascii="Times New Roman" w:eastAsia="Times New Roman" w:hAnsi="Times New Roman" w:cs="Times New Roman"/>
          <w:sz w:val="24"/>
          <w:szCs w:val="24"/>
        </w:rPr>
        <w:t>K</w:t>
      </w:r>
      <w:r w:rsidRPr="00160185">
        <w:rPr>
          <w:rFonts w:ascii="Times New Roman" w:eastAsia="Times New Roman" w:hAnsi="Times New Roman" w:cs="Times New Roman"/>
          <w:sz w:val="24"/>
          <w:szCs w:val="24"/>
          <w:vertAlign w:val="subscript"/>
        </w:rPr>
        <w:t>ex</w:t>
      </w:r>
      <w:proofErr w:type="spellEnd"/>
      <w:r w:rsidRPr="00160185">
        <w:rPr>
          <w:rFonts w:ascii="Times New Roman" w:eastAsia="Times New Roman" w:hAnsi="Times New Roman" w:cs="Times New Roman"/>
          <w:sz w:val="24"/>
          <w:szCs w:val="24"/>
        </w:rPr>
        <w:t>) for Ca</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Cs</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exchange as high as 7 × 10</w:t>
      </w:r>
      <w:r w:rsidRPr="00160185">
        <w:rPr>
          <w:rFonts w:ascii="Times New Roman" w:eastAsia="Times New Roman" w:hAnsi="Times New Roman" w:cs="Times New Roman"/>
          <w:sz w:val="24"/>
          <w:szCs w:val="24"/>
          <w:vertAlign w:val="superscript"/>
        </w:rPr>
        <w:t>−10</w:t>
      </w:r>
      <w:r w:rsidRPr="00160185">
        <w:rPr>
          <w:rFonts w:ascii="Times New Roman" w:eastAsia="Times New Roman" w:hAnsi="Times New Roman" w:cs="Times New Roman"/>
          <w:sz w:val="24"/>
          <w:szCs w:val="24"/>
        </w:rPr>
        <w:t xml:space="preserve"> (</w:t>
      </w:r>
      <w:proofErr w:type="spellStart"/>
      <w:r w:rsidRPr="00160185">
        <w:rPr>
          <w:rFonts w:ascii="Times New Roman" w:eastAsia="Times New Roman" w:hAnsi="Times New Roman" w:cs="Times New Roman"/>
          <w:sz w:val="24"/>
          <w:szCs w:val="24"/>
        </w:rPr>
        <w:t>Comans</w:t>
      </w:r>
      <w:proofErr w:type="spellEnd"/>
      <w:r w:rsidRPr="00160185">
        <w:rPr>
          <w:rFonts w:ascii="Times New Roman" w:eastAsia="Times New Roman" w:hAnsi="Times New Roman" w:cs="Times New Roman"/>
          <w:sz w:val="24"/>
          <w:szCs w:val="24"/>
        </w:rPr>
        <w:t xml:space="preserve"> et al., 1991, </w:t>
      </w:r>
      <w:proofErr w:type="spellStart"/>
      <w:r w:rsidRPr="00160185">
        <w:rPr>
          <w:rFonts w:ascii="Times New Roman" w:eastAsia="Times New Roman" w:hAnsi="Times New Roman" w:cs="Times New Roman"/>
          <w:sz w:val="24"/>
          <w:szCs w:val="24"/>
        </w:rPr>
        <w:t>Zachara</w:t>
      </w:r>
      <w:proofErr w:type="spellEnd"/>
      <w:r w:rsidRPr="00160185">
        <w:rPr>
          <w:rFonts w:ascii="Times New Roman" w:eastAsia="Times New Roman" w:hAnsi="Times New Roman" w:cs="Times New Roman"/>
          <w:sz w:val="24"/>
          <w:szCs w:val="24"/>
        </w:rPr>
        <w:t xml:space="preserve"> et al., 2002). External basal and interlayer surfaces of expansible 2:1 layer-type clays (smectite and vermiculite) are also important sorption sites in soils (Oscarson et al., 1987). Charge location in the tetrahedral sheet (e.g., vermiculite) promotes greater inner-sphere complexation relative to octahedral sheet charge (e.g., montmorillonite) (Bailey, 1980, Douglas, 1989, Bostick et al., 2001, Sutton and </w:t>
      </w:r>
      <w:proofErr w:type="spellStart"/>
      <w:r w:rsidRPr="00160185">
        <w:rPr>
          <w:rFonts w:ascii="Times New Roman" w:eastAsia="Times New Roman" w:hAnsi="Times New Roman" w:cs="Times New Roman"/>
          <w:sz w:val="24"/>
          <w:szCs w:val="24"/>
        </w:rPr>
        <w:t>Sposito</w:t>
      </w:r>
      <w:proofErr w:type="spellEnd"/>
      <w:r w:rsidRPr="00160185">
        <w:rPr>
          <w:rFonts w:ascii="Times New Roman" w:eastAsia="Times New Roman" w:hAnsi="Times New Roman" w:cs="Times New Roman"/>
          <w:sz w:val="24"/>
          <w:szCs w:val="24"/>
        </w:rPr>
        <w:t xml:space="preserve">, 2001). This range in site selectivity is such that adsorption kinetics at circumneutral pH and low ionic strength are characterized by a </w:t>
      </w:r>
      <w:proofErr w:type="gramStart"/>
      <w:r w:rsidRPr="00160185">
        <w:rPr>
          <w:rFonts w:ascii="Times New Roman" w:eastAsia="Times New Roman" w:hAnsi="Times New Roman" w:cs="Times New Roman"/>
          <w:sz w:val="24"/>
          <w:szCs w:val="24"/>
        </w:rPr>
        <w:t>fast initial</w:t>
      </w:r>
      <w:proofErr w:type="gramEnd"/>
      <w:r w:rsidRPr="00160185">
        <w:rPr>
          <w:rFonts w:ascii="Times New Roman" w:eastAsia="Times New Roman" w:hAnsi="Times New Roman" w:cs="Times New Roman"/>
          <w:sz w:val="24"/>
          <w:szCs w:val="24"/>
        </w:rPr>
        <w:t xml:space="preserve"> step followed by slower uptake over longer time period (months) consistent with diffusion to high affinity sites (</w:t>
      </w:r>
      <w:proofErr w:type="spellStart"/>
      <w:r w:rsidRPr="00160185">
        <w:rPr>
          <w:rFonts w:ascii="Times New Roman" w:eastAsia="Times New Roman" w:hAnsi="Times New Roman" w:cs="Times New Roman"/>
          <w:sz w:val="24"/>
          <w:szCs w:val="24"/>
        </w:rPr>
        <w:t>Torstenfelt</w:t>
      </w:r>
      <w:proofErr w:type="spellEnd"/>
      <w:r w:rsidRPr="00160185">
        <w:rPr>
          <w:rFonts w:ascii="Times New Roman" w:eastAsia="Times New Roman" w:hAnsi="Times New Roman" w:cs="Times New Roman"/>
          <w:sz w:val="24"/>
          <w:szCs w:val="24"/>
        </w:rPr>
        <w:t xml:space="preserve"> et al., 1982, </w:t>
      </w:r>
      <w:proofErr w:type="spellStart"/>
      <w:r w:rsidRPr="00160185">
        <w:rPr>
          <w:rFonts w:ascii="Times New Roman" w:eastAsia="Times New Roman" w:hAnsi="Times New Roman" w:cs="Times New Roman"/>
          <w:sz w:val="24"/>
          <w:szCs w:val="24"/>
        </w:rPr>
        <w:t>Comans</w:t>
      </w:r>
      <w:proofErr w:type="spellEnd"/>
      <w:r w:rsidRPr="00160185">
        <w:rPr>
          <w:rFonts w:ascii="Times New Roman" w:eastAsia="Times New Roman" w:hAnsi="Times New Roman" w:cs="Times New Roman"/>
          <w:sz w:val="24"/>
          <w:szCs w:val="24"/>
        </w:rPr>
        <w:t xml:space="preserve"> et al., 1991, </w:t>
      </w:r>
      <w:proofErr w:type="spellStart"/>
      <w:r w:rsidRPr="00160185">
        <w:rPr>
          <w:rFonts w:ascii="Times New Roman" w:eastAsia="Times New Roman" w:hAnsi="Times New Roman" w:cs="Times New Roman"/>
          <w:sz w:val="24"/>
          <w:szCs w:val="24"/>
        </w:rPr>
        <w:t>Poinssot</w:t>
      </w:r>
      <w:proofErr w:type="spellEnd"/>
      <w:r w:rsidRPr="00160185">
        <w:rPr>
          <w:rFonts w:ascii="Times New Roman" w:eastAsia="Times New Roman" w:hAnsi="Times New Roman" w:cs="Times New Roman"/>
          <w:sz w:val="24"/>
          <w:szCs w:val="24"/>
        </w:rPr>
        <w:t xml:space="preserve"> et al., 1999). At neutral pH and in the presence of the high Na</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(&gt; 1.0 M) concentrations encountered in HLRW, Cs</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adsorption to Hanford (</w:t>
      </w:r>
      <w:proofErr w:type="spellStart"/>
      <w:r w:rsidRPr="00160185">
        <w:rPr>
          <w:rFonts w:ascii="Times New Roman" w:eastAsia="Times New Roman" w:hAnsi="Times New Roman" w:cs="Times New Roman"/>
          <w:sz w:val="24"/>
          <w:szCs w:val="24"/>
        </w:rPr>
        <w:t>Ringold</w:t>
      </w:r>
      <w:proofErr w:type="spellEnd"/>
      <w:r w:rsidRPr="00160185">
        <w:rPr>
          <w:rFonts w:ascii="Times New Roman" w:eastAsia="Times New Roman" w:hAnsi="Times New Roman" w:cs="Times New Roman"/>
          <w:sz w:val="24"/>
          <w:szCs w:val="24"/>
        </w:rPr>
        <w:t>) sediments from 10</w:t>
      </w:r>
      <w:r w:rsidRPr="00160185">
        <w:rPr>
          <w:rFonts w:ascii="Times New Roman" w:eastAsia="Times New Roman" w:hAnsi="Times New Roman" w:cs="Times New Roman"/>
          <w:sz w:val="24"/>
          <w:szCs w:val="24"/>
          <w:vertAlign w:val="superscript"/>
        </w:rPr>
        <w:t>−9</w:t>
      </w:r>
      <w:r w:rsidRPr="00160185">
        <w:rPr>
          <w:rFonts w:ascii="Times New Roman" w:eastAsia="Times New Roman" w:hAnsi="Times New Roman" w:cs="Times New Roman"/>
          <w:sz w:val="24"/>
          <w:szCs w:val="24"/>
        </w:rPr>
        <w:t xml:space="preserve"> to 10</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M Cs solutions was limited to high-affinity FES sites (</w:t>
      </w:r>
      <w:proofErr w:type="spellStart"/>
      <w:r w:rsidRPr="00160185">
        <w:rPr>
          <w:rFonts w:ascii="Times New Roman" w:eastAsia="Times New Roman" w:hAnsi="Times New Roman" w:cs="Times New Roman"/>
          <w:sz w:val="24"/>
          <w:szCs w:val="24"/>
        </w:rPr>
        <w:t>Zachara</w:t>
      </w:r>
      <w:proofErr w:type="spellEnd"/>
      <w:r w:rsidRPr="00160185">
        <w:rPr>
          <w:rFonts w:ascii="Times New Roman" w:eastAsia="Times New Roman" w:hAnsi="Times New Roman" w:cs="Times New Roman"/>
          <w:sz w:val="24"/>
          <w:szCs w:val="24"/>
        </w:rPr>
        <w:t xml:space="preserve"> et al., 2002). Increasing temperature above 298 K diminishes site selectivity for Cs</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over Na</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while enhancing Cs desorption kinetics (Liu et al., 2003a, Liu et al., 2003b).</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The smaller Sr</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cation is a hard Lewis acid that exhibits a higher hydration enthalpy (−1445 kJ mol</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and ionic potential (17 nm</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approaching those of Ca</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(−1592 kJ mol</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xml:space="preserve"> and 20 nm</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respectively). As with Ca</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adsorption to a wide range of mineral surfaces—including layer silicates and hydrous oxides—occurs dominantly via outer-sphere complexation, consistent with an ion exchange mechanism (Chen et al., 1998; Oscarson and Hume, 1998; </w:t>
      </w:r>
      <w:proofErr w:type="spellStart"/>
      <w:r w:rsidRPr="00160185">
        <w:rPr>
          <w:rFonts w:ascii="Times New Roman" w:eastAsia="Times New Roman" w:hAnsi="Times New Roman" w:cs="Times New Roman"/>
          <w:sz w:val="24"/>
          <w:szCs w:val="24"/>
        </w:rPr>
        <w:t>Sahai</w:t>
      </w:r>
      <w:proofErr w:type="spellEnd"/>
      <w:r w:rsidRPr="00160185">
        <w:rPr>
          <w:rFonts w:ascii="Times New Roman" w:eastAsia="Times New Roman" w:hAnsi="Times New Roman" w:cs="Times New Roman"/>
          <w:sz w:val="24"/>
          <w:szCs w:val="24"/>
        </w:rPr>
        <w:t xml:space="preserve"> et al., 2000, </w:t>
      </w:r>
      <w:proofErr w:type="spellStart"/>
      <w:r w:rsidRPr="00160185">
        <w:rPr>
          <w:rFonts w:ascii="Times New Roman" w:eastAsia="Times New Roman" w:hAnsi="Times New Roman" w:cs="Times New Roman"/>
          <w:sz w:val="24"/>
          <w:szCs w:val="24"/>
        </w:rPr>
        <w:t>O'Day</w:t>
      </w:r>
      <w:proofErr w:type="spellEnd"/>
      <w:r w:rsidRPr="00160185">
        <w:rPr>
          <w:rFonts w:ascii="Times New Roman" w:eastAsia="Times New Roman" w:hAnsi="Times New Roman" w:cs="Times New Roman"/>
          <w:sz w:val="24"/>
          <w:szCs w:val="24"/>
        </w:rPr>
        <w:t xml:space="preserve"> et al., 2000). Strontium adsorption to layer silicate clays at circumneutral pH is thought to be reversible and outer-sphere (Rafferty et al., 1981, </w:t>
      </w:r>
      <w:proofErr w:type="spellStart"/>
      <w:r w:rsidRPr="00160185">
        <w:rPr>
          <w:rFonts w:ascii="Times New Roman" w:eastAsia="Times New Roman" w:hAnsi="Times New Roman" w:cs="Times New Roman"/>
          <w:sz w:val="24"/>
          <w:szCs w:val="24"/>
        </w:rPr>
        <w:t>Puls</w:t>
      </w:r>
      <w:proofErr w:type="spellEnd"/>
      <w:r w:rsidRPr="00160185">
        <w:rPr>
          <w:rFonts w:ascii="Times New Roman" w:eastAsia="Times New Roman" w:hAnsi="Times New Roman" w:cs="Times New Roman"/>
          <w:sz w:val="24"/>
          <w:szCs w:val="24"/>
        </w:rPr>
        <w:t xml:space="preserve"> et al., 1989, Gutierrez and Fuentes, 1993, Dyer et al., 2000, Lu and Mason, 2001). </w:t>
      </w:r>
      <w:proofErr w:type="spellStart"/>
      <w:r w:rsidRPr="00160185">
        <w:rPr>
          <w:rFonts w:ascii="Times New Roman" w:eastAsia="Times New Roman" w:hAnsi="Times New Roman" w:cs="Times New Roman"/>
          <w:sz w:val="24"/>
          <w:szCs w:val="24"/>
        </w:rPr>
        <w:t>Jeong</w:t>
      </w:r>
      <w:proofErr w:type="spellEnd"/>
      <w:r w:rsidRPr="00160185">
        <w:rPr>
          <w:rFonts w:ascii="Times New Roman" w:eastAsia="Times New Roman" w:hAnsi="Times New Roman" w:cs="Times New Roman"/>
          <w:sz w:val="24"/>
          <w:szCs w:val="24"/>
        </w:rPr>
        <w:t xml:space="preserve"> et al. (1996) reported higher uptake of Cs than Sr by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and smectite, and ascribed the difference to the higher hydration energy of Sr.</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Although most prior studies have focused on Cs and Sr adsorption reactions at circumneutral pH and low ionic strength, the high pH (13–14), ionic strength (&gt; 2 M) and Al concentrations (</w:t>
      </w:r>
      <w:r w:rsidRPr="00160185">
        <w:rPr>
          <w:rFonts w:ascii="Times New Roman" w:eastAsia="Times New Roman" w:hAnsi="Times New Roman" w:cs="Times New Roman"/>
          <w:i/>
          <w:iCs/>
          <w:sz w:val="24"/>
          <w:szCs w:val="24"/>
        </w:rPr>
        <w:t>ca.</w:t>
      </w:r>
      <w:r w:rsidRPr="00160185">
        <w:rPr>
          <w:rFonts w:ascii="Times New Roman" w:eastAsia="Times New Roman" w:hAnsi="Times New Roman" w:cs="Times New Roman"/>
          <w:sz w:val="24"/>
          <w:szCs w:val="24"/>
        </w:rPr>
        <w:t xml:space="preserve"> 0.01–0.2 M) of HLRW solutions (</w:t>
      </w:r>
      <w:proofErr w:type="spellStart"/>
      <w:r w:rsidRPr="00160185">
        <w:rPr>
          <w:rFonts w:ascii="Times New Roman" w:eastAsia="Times New Roman" w:hAnsi="Times New Roman" w:cs="Times New Roman"/>
          <w:sz w:val="24"/>
          <w:szCs w:val="24"/>
        </w:rPr>
        <w:t>Serne</w:t>
      </w:r>
      <w:proofErr w:type="spellEnd"/>
      <w:r w:rsidRPr="00160185">
        <w:rPr>
          <w:rFonts w:ascii="Times New Roman" w:eastAsia="Times New Roman" w:hAnsi="Times New Roman" w:cs="Times New Roman"/>
          <w:sz w:val="24"/>
          <w:szCs w:val="24"/>
        </w:rPr>
        <w:t xml:space="preserve"> et al., 1998, </w:t>
      </w:r>
      <w:proofErr w:type="spellStart"/>
      <w:r w:rsidRPr="00160185">
        <w:rPr>
          <w:rFonts w:ascii="Times New Roman" w:eastAsia="Times New Roman" w:hAnsi="Times New Roman" w:cs="Times New Roman"/>
          <w:sz w:val="24"/>
          <w:szCs w:val="24"/>
        </w:rPr>
        <w:t>Serne</w:t>
      </w:r>
      <w:proofErr w:type="spellEnd"/>
      <w:r w:rsidRPr="00160185">
        <w:rPr>
          <w:rFonts w:ascii="Times New Roman" w:eastAsia="Times New Roman" w:hAnsi="Times New Roman" w:cs="Times New Roman"/>
          <w:sz w:val="24"/>
          <w:szCs w:val="24"/>
        </w:rPr>
        <w:t xml:space="preserve"> et al., 2001a) are known to favor rapid dissolution of silicates and neoformation of zeolitic and feldspathoid solids on time scales that are relevant to contaminant uptake (</w:t>
      </w:r>
      <w:proofErr w:type="spellStart"/>
      <w:r w:rsidRPr="00160185">
        <w:rPr>
          <w:rFonts w:ascii="Times New Roman" w:eastAsia="Times New Roman" w:hAnsi="Times New Roman" w:cs="Times New Roman"/>
          <w:sz w:val="24"/>
          <w:szCs w:val="24"/>
        </w:rPr>
        <w:t>Bickmore</w:t>
      </w:r>
      <w:proofErr w:type="spellEnd"/>
      <w:r w:rsidRPr="00160185">
        <w:rPr>
          <w:rFonts w:ascii="Times New Roman" w:eastAsia="Times New Roman" w:hAnsi="Times New Roman" w:cs="Times New Roman"/>
          <w:sz w:val="24"/>
          <w:szCs w:val="24"/>
        </w:rPr>
        <w:t xml:space="preserve"> et al., 2001, </w:t>
      </w:r>
      <w:proofErr w:type="spellStart"/>
      <w:r w:rsidRPr="00160185">
        <w:rPr>
          <w:rFonts w:ascii="Times New Roman" w:eastAsia="Times New Roman" w:hAnsi="Times New Roman" w:cs="Times New Roman"/>
          <w:sz w:val="24"/>
          <w:szCs w:val="24"/>
        </w:rPr>
        <w:t>Chorover</w:t>
      </w:r>
      <w:proofErr w:type="spellEnd"/>
      <w:r w:rsidRPr="00160185">
        <w:rPr>
          <w:rFonts w:ascii="Times New Roman" w:eastAsia="Times New Roman" w:hAnsi="Times New Roman" w:cs="Times New Roman"/>
          <w:sz w:val="24"/>
          <w:szCs w:val="24"/>
        </w:rPr>
        <w:t xml:space="preserve"> et al., 2003, </w:t>
      </w:r>
      <w:proofErr w:type="spellStart"/>
      <w:r w:rsidRPr="00160185">
        <w:rPr>
          <w:rFonts w:ascii="Times New Roman" w:eastAsia="Times New Roman" w:hAnsi="Times New Roman" w:cs="Times New Roman"/>
          <w:sz w:val="24"/>
          <w:szCs w:val="24"/>
        </w:rPr>
        <w:t>Chorover</w:t>
      </w:r>
      <w:proofErr w:type="spellEnd"/>
      <w:r w:rsidRPr="00160185">
        <w:rPr>
          <w:rFonts w:ascii="Times New Roman" w:eastAsia="Times New Roman" w:hAnsi="Times New Roman" w:cs="Times New Roman"/>
          <w:sz w:val="24"/>
          <w:szCs w:val="24"/>
        </w:rPr>
        <w:t xml:space="preserve"> et al., 2004; Choi et al., in press). The fate of radionuclides in this dynamic geochemical environment is poorly understood, but could involve adsorption-desorption on native mineral surfaces, as well as co-precipitation with, or adsorption to, solid-phase products of incongruent dissolution. Cesium and Sr are sequestered into distinct solid phase products of kaolinite dissolution under these conditions (</w:t>
      </w:r>
      <w:proofErr w:type="spellStart"/>
      <w:r w:rsidRPr="00160185">
        <w:rPr>
          <w:rFonts w:ascii="Times New Roman" w:eastAsia="Times New Roman" w:hAnsi="Times New Roman" w:cs="Times New Roman"/>
          <w:sz w:val="24"/>
          <w:szCs w:val="24"/>
        </w:rPr>
        <w:t>Chorover</w:t>
      </w:r>
      <w:proofErr w:type="spellEnd"/>
      <w:r w:rsidRPr="00160185">
        <w:rPr>
          <w:rFonts w:ascii="Times New Roman" w:eastAsia="Times New Roman" w:hAnsi="Times New Roman" w:cs="Times New Roman"/>
          <w:sz w:val="24"/>
          <w:szCs w:val="24"/>
        </w:rPr>
        <w:t xml:space="preserve"> et al., 2003). However, the coupled sorption and weathering behavior that occur in caustic-waste systems comprising 2:1 layer-type silicates, with much higher cation exchange capacity, have not been reported previously. Smectite is the dominant 2:1 layer-type silicate at shallow depths in Hanford soils.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and vermiculite are also present in this zone, proximal to the tanks (from muscovite and biotite weathering), and they increase in prevalence with increasing depth (</w:t>
      </w:r>
      <w:proofErr w:type="spellStart"/>
      <w:r w:rsidRPr="00160185">
        <w:rPr>
          <w:rFonts w:ascii="Times New Roman" w:eastAsia="Times New Roman" w:hAnsi="Times New Roman" w:cs="Times New Roman"/>
          <w:sz w:val="24"/>
          <w:szCs w:val="24"/>
        </w:rPr>
        <w:t>Serne</w:t>
      </w:r>
      <w:proofErr w:type="spellEnd"/>
      <w:r w:rsidRPr="00160185">
        <w:rPr>
          <w:rFonts w:ascii="Times New Roman" w:eastAsia="Times New Roman" w:hAnsi="Times New Roman" w:cs="Times New Roman"/>
          <w:sz w:val="24"/>
          <w:szCs w:val="24"/>
        </w:rPr>
        <w:t xml:space="preserve"> et al., 2001b).</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lastRenderedPageBreak/>
        <w:t xml:space="preserve">To better understand geochemical processes governing contaminant fate, there is a clear need for experimental data on long-term weathering and contaminant sorption behavior of clay minerals in the caustic aqueous environment characteristic of the vadose zone bordering the source zone. The objective of the present research was to establish linkages between mineral solubility and </w:t>
      </w:r>
      <w:proofErr w:type="spellStart"/>
      <w:r w:rsidRPr="00160185">
        <w:rPr>
          <w:rFonts w:ascii="Times New Roman" w:eastAsia="Times New Roman" w:hAnsi="Times New Roman" w:cs="Times New Roman"/>
          <w:sz w:val="24"/>
          <w:szCs w:val="24"/>
        </w:rPr>
        <w:t>sorptive</w:t>
      </w:r>
      <w:proofErr w:type="spellEnd"/>
      <w:r w:rsidRPr="00160185">
        <w:rPr>
          <w:rFonts w:ascii="Times New Roman" w:eastAsia="Times New Roman" w:hAnsi="Times New Roman" w:cs="Times New Roman"/>
          <w:sz w:val="24"/>
          <w:szCs w:val="24"/>
        </w:rPr>
        <w:t xml:space="preserve"> uptake of Cs and Sr to 2:1 layer-type silicates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vermiculite and smectite) and their secondary weathering products during reaction with a synthetic tank waste leachate for reaction times up to one year. Geochemical conditions for this study are representative of the “near-field” environment underneath the leaking tank. Mineral transformations are discussed in detail in a companion paper (Choi et al., 2005).</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Section snippets</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Preparation of Stock Clay Suspensions</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Montmorillonite (SWy-2) from Crook County, WY and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(IMt-1) from Silver Hill, MT (both dioctahedral) were obtained from the Source Clays Repository of the Clay Minerals Society. Trioctahedral vermiculite from Phalaborwa in </w:t>
      </w:r>
      <w:proofErr w:type="spellStart"/>
      <w:r w:rsidRPr="00160185">
        <w:rPr>
          <w:rFonts w:ascii="Times New Roman" w:eastAsia="Times New Roman" w:hAnsi="Times New Roman" w:cs="Times New Roman"/>
          <w:sz w:val="24"/>
          <w:szCs w:val="24"/>
        </w:rPr>
        <w:t>Transvall</w:t>
      </w:r>
      <w:proofErr w:type="spellEnd"/>
      <w:r w:rsidRPr="00160185">
        <w:rPr>
          <w:rFonts w:ascii="Times New Roman" w:eastAsia="Times New Roman" w:hAnsi="Times New Roman" w:cs="Times New Roman"/>
          <w:sz w:val="24"/>
          <w:szCs w:val="24"/>
        </w:rPr>
        <w:t xml:space="preserve"> of South Africa was obtained from Ward's Scientific Inc., NY. All clays were size fractionated and cleaned before experiments. The &lt;2 </w:t>
      </w:r>
      <w:proofErr w:type="spellStart"/>
      <w:r w:rsidRPr="00160185">
        <w:rPr>
          <w:rFonts w:ascii="Times New Roman" w:eastAsia="Times New Roman" w:hAnsi="Times New Roman" w:cs="Times New Roman"/>
          <w:sz w:val="24"/>
          <w:szCs w:val="24"/>
        </w:rPr>
        <w:t>μm</w:t>
      </w:r>
      <w:proofErr w:type="spellEnd"/>
      <w:r w:rsidRPr="00160185">
        <w:rPr>
          <w:rFonts w:ascii="Times New Roman" w:eastAsia="Times New Roman" w:hAnsi="Times New Roman" w:cs="Times New Roman"/>
          <w:sz w:val="24"/>
          <w:szCs w:val="24"/>
        </w:rPr>
        <w:t xml:space="preserve"> montmorillonite (Mt) fraction was collected by repeated sedimentation-resuspension and cleaned to remove oxide impurities by </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Composition of the Purified Clays</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Selected physical-chemical data on the purified clays are presented in Table 1, Table 2. For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both the chemical formula and the ratio of accessible to total structural charge (σ</w:t>
      </w:r>
      <w:r w:rsidRPr="00160185">
        <w:rPr>
          <w:rFonts w:ascii="Times New Roman" w:eastAsia="Times New Roman" w:hAnsi="Times New Roman" w:cs="Times New Roman"/>
          <w:sz w:val="24"/>
          <w:szCs w:val="24"/>
          <w:vertAlign w:val="subscript"/>
        </w:rPr>
        <w:t>0,expt</w:t>
      </w:r>
      <w:r w:rsidRPr="00160185">
        <w:rPr>
          <w:rFonts w:ascii="Times New Roman" w:eastAsia="Times New Roman" w:hAnsi="Times New Roman" w:cs="Times New Roman"/>
          <w:sz w:val="24"/>
          <w:szCs w:val="24"/>
        </w:rPr>
        <w:t>/σ</w:t>
      </w:r>
      <w:r w:rsidRPr="00160185">
        <w:rPr>
          <w:rFonts w:ascii="Times New Roman" w:eastAsia="Times New Roman" w:hAnsi="Times New Roman" w:cs="Times New Roman"/>
          <w:sz w:val="24"/>
          <w:szCs w:val="24"/>
          <w:vertAlign w:val="subscript"/>
        </w:rPr>
        <w:t>0,calc</w:t>
      </w:r>
      <w:r w:rsidRPr="00160185">
        <w:rPr>
          <w:rFonts w:ascii="Times New Roman" w:eastAsia="Times New Roman" w:hAnsi="Times New Roman" w:cs="Times New Roman"/>
          <w:sz w:val="24"/>
          <w:szCs w:val="24"/>
        </w:rPr>
        <w:t>) indicate that a large fraction of the charged sites remain balanced by K</w:t>
      </w:r>
      <w:r w:rsidRPr="00160185">
        <w:rPr>
          <w:rFonts w:ascii="Times New Roman" w:eastAsia="Times New Roman" w:hAnsi="Times New Roman" w:cs="Times New Roman"/>
          <w:sz w:val="24"/>
          <w:szCs w:val="24"/>
          <w:vertAlign w:val="superscript"/>
        </w:rPr>
        <w:t>+</w:t>
      </w:r>
      <w:r w:rsidRPr="00160185">
        <w:rPr>
          <w:rFonts w:ascii="Times New Roman" w:eastAsia="Times New Roman" w:hAnsi="Times New Roman" w:cs="Times New Roman"/>
          <w:sz w:val="24"/>
          <w:szCs w:val="24"/>
        </w:rPr>
        <w:t xml:space="preserve"> occupancy in collapsed interlayers (Table 1) and most of this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structural charge is inaccessible to adsorptive Cs (Table 2). The ratio σ</w:t>
      </w:r>
      <w:proofErr w:type="gramStart"/>
      <w:r w:rsidRPr="00160185">
        <w:rPr>
          <w:rFonts w:ascii="Times New Roman" w:eastAsia="Times New Roman" w:hAnsi="Times New Roman" w:cs="Times New Roman"/>
          <w:sz w:val="24"/>
          <w:szCs w:val="24"/>
          <w:vertAlign w:val="subscript"/>
        </w:rPr>
        <w:t>0,expt</w:t>
      </w:r>
      <w:proofErr w:type="gramEnd"/>
      <w:r w:rsidRPr="00160185">
        <w:rPr>
          <w:rFonts w:ascii="Times New Roman" w:eastAsia="Times New Roman" w:hAnsi="Times New Roman" w:cs="Times New Roman"/>
          <w:sz w:val="24"/>
          <w:szCs w:val="24"/>
        </w:rPr>
        <w:t>/σ</w:t>
      </w:r>
      <w:r w:rsidRPr="00160185">
        <w:rPr>
          <w:rFonts w:ascii="Times New Roman" w:eastAsia="Times New Roman" w:hAnsi="Times New Roman" w:cs="Times New Roman"/>
          <w:sz w:val="24"/>
          <w:szCs w:val="24"/>
          <w:vertAlign w:val="subscript"/>
        </w:rPr>
        <w:t>0,calc</w:t>
      </w:r>
      <w:r w:rsidRPr="00160185">
        <w:rPr>
          <w:rFonts w:ascii="Times New Roman" w:eastAsia="Times New Roman" w:hAnsi="Times New Roman" w:cs="Times New Roman"/>
          <w:sz w:val="24"/>
          <w:szCs w:val="24"/>
        </w:rPr>
        <w:t xml:space="preserve"> increases from 0.03 for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to 0.1 for vermiculite and 0.45 for</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Discussion</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The 2:1 layer-type clay minerals studied here are micaceous weathering products representing a range of interlayer expansion, specific surface area (SSA), and tetrahedral vs. octahedral charge properties. In this work, we observed an increase in clay Si release with increasing SSA from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to montmorillonite. However, SSA is not the sole predictor of dissolution rate, since a comparable study (</w:t>
      </w:r>
      <w:proofErr w:type="spellStart"/>
      <w:r w:rsidRPr="00160185">
        <w:rPr>
          <w:rFonts w:ascii="Times New Roman" w:eastAsia="Times New Roman" w:hAnsi="Times New Roman" w:cs="Times New Roman"/>
          <w:sz w:val="24"/>
          <w:szCs w:val="24"/>
        </w:rPr>
        <w:t>Chorover</w:t>
      </w:r>
      <w:proofErr w:type="spellEnd"/>
      <w:r w:rsidRPr="00160185">
        <w:rPr>
          <w:rFonts w:ascii="Times New Roman" w:eastAsia="Times New Roman" w:hAnsi="Times New Roman" w:cs="Times New Roman"/>
          <w:sz w:val="24"/>
          <w:szCs w:val="24"/>
        </w:rPr>
        <w:t xml:space="preserve"> et al., 2003) with lower SSA kaolinite (KGa-2, SSA = 39 m</w:t>
      </w:r>
      <w:r w:rsidRPr="00160185">
        <w:rPr>
          <w:rFonts w:ascii="Times New Roman" w:eastAsia="Times New Roman" w:hAnsi="Times New Roman" w:cs="Times New Roman"/>
          <w:sz w:val="24"/>
          <w:szCs w:val="24"/>
          <w:vertAlign w:val="superscript"/>
        </w:rPr>
        <w:t>2</w:t>
      </w:r>
      <w:r w:rsidRPr="00160185">
        <w:rPr>
          <w:rFonts w:ascii="Times New Roman" w:eastAsia="Times New Roman" w:hAnsi="Times New Roman" w:cs="Times New Roman"/>
          <w:sz w:val="24"/>
          <w:szCs w:val="24"/>
        </w:rPr>
        <w:t xml:space="preserve"> g</w:t>
      </w:r>
      <w:r w:rsidRPr="00160185">
        <w:rPr>
          <w:rFonts w:ascii="Times New Roman" w:eastAsia="Times New Roman" w:hAnsi="Times New Roman" w:cs="Times New Roman"/>
          <w:sz w:val="24"/>
          <w:szCs w:val="24"/>
          <w:vertAlign w:val="superscript"/>
        </w:rPr>
        <w:t>−1</w:t>
      </w:r>
      <w:r w:rsidRPr="00160185">
        <w:rPr>
          <w:rFonts w:ascii="Times New Roman" w:eastAsia="Times New Roman" w:hAnsi="Times New Roman" w:cs="Times New Roman"/>
          <w:sz w:val="24"/>
          <w:szCs w:val="24"/>
        </w:rPr>
        <w:t>) gave higher initial Si</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t>Conclusions</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Interlayer accessibility, charge location and weathering dynamics affect long-term uptake and retention of Cs and Sr in suspensions subjected to caustic HLRW leachate. Dissolution rates of 2:1 layer-type clays reacted with a synthetic tank waste leachate solution (STWL, pH 14, 2 M NaNO</w:t>
      </w:r>
      <w:r w:rsidRPr="00160185">
        <w:rPr>
          <w:rFonts w:ascii="Times New Roman" w:eastAsia="Times New Roman" w:hAnsi="Times New Roman" w:cs="Times New Roman"/>
          <w:sz w:val="24"/>
          <w:szCs w:val="24"/>
          <w:vertAlign w:val="subscript"/>
        </w:rPr>
        <w:t>3</w:t>
      </w:r>
      <w:r w:rsidRPr="00160185">
        <w:rPr>
          <w:rFonts w:ascii="Times New Roman" w:eastAsia="Times New Roman" w:hAnsi="Times New Roman" w:cs="Times New Roman"/>
          <w:sz w:val="24"/>
          <w:szCs w:val="24"/>
        </w:rPr>
        <w:t>, 50 mM Al) are greatest for montmorillonite (Mt), followed by vermiculite (</w:t>
      </w:r>
      <w:proofErr w:type="spellStart"/>
      <w:r w:rsidRPr="00160185">
        <w:rPr>
          <w:rFonts w:ascii="Times New Roman" w:eastAsia="Times New Roman" w:hAnsi="Times New Roman" w:cs="Times New Roman"/>
          <w:sz w:val="24"/>
          <w:szCs w:val="24"/>
        </w:rPr>
        <w:t>Vm</w:t>
      </w:r>
      <w:proofErr w:type="spellEnd"/>
      <w:r w:rsidRPr="00160185">
        <w:rPr>
          <w:rFonts w:ascii="Times New Roman" w:eastAsia="Times New Roman" w:hAnsi="Times New Roman" w:cs="Times New Roman"/>
          <w:sz w:val="24"/>
          <w:szCs w:val="24"/>
        </w:rPr>
        <w:t xml:space="preserve">) and </w:t>
      </w:r>
      <w:proofErr w:type="spellStart"/>
      <w:r w:rsidRPr="00160185">
        <w:rPr>
          <w:rFonts w:ascii="Times New Roman" w:eastAsia="Times New Roman" w:hAnsi="Times New Roman" w:cs="Times New Roman"/>
          <w:sz w:val="24"/>
          <w:szCs w:val="24"/>
        </w:rPr>
        <w:t>illite</w:t>
      </w:r>
      <w:proofErr w:type="spellEnd"/>
      <w:r w:rsidRPr="00160185">
        <w:rPr>
          <w:rFonts w:ascii="Times New Roman" w:eastAsia="Times New Roman" w:hAnsi="Times New Roman" w:cs="Times New Roman"/>
          <w:sz w:val="24"/>
          <w:szCs w:val="24"/>
        </w:rPr>
        <w:t xml:space="preserve"> (Il). Rates of mineral transformation and the formation of dissolution-resistant secondary phases, as measured by</w:t>
      </w:r>
    </w:p>
    <w:p w:rsidR="00160185" w:rsidRPr="00160185" w:rsidRDefault="00160185" w:rsidP="00160185">
      <w:pPr>
        <w:spacing w:before="100" w:beforeAutospacing="1" w:after="100" w:afterAutospacing="1" w:line="240" w:lineRule="auto"/>
        <w:outlineLvl w:val="1"/>
        <w:rPr>
          <w:rFonts w:ascii="Times New Roman" w:eastAsia="Times New Roman" w:hAnsi="Times New Roman" w:cs="Times New Roman"/>
          <w:b/>
          <w:bCs/>
          <w:sz w:val="36"/>
          <w:szCs w:val="36"/>
        </w:rPr>
      </w:pPr>
      <w:r w:rsidRPr="00160185">
        <w:rPr>
          <w:rFonts w:ascii="Times New Roman" w:eastAsia="Times New Roman" w:hAnsi="Times New Roman" w:cs="Times New Roman"/>
          <w:b/>
          <w:bCs/>
          <w:sz w:val="36"/>
          <w:szCs w:val="36"/>
        </w:rPr>
        <w:lastRenderedPageBreak/>
        <w:t>Acknowledgments</w:t>
      </w:r>
    </w:p>
    <w:p w:rsidR="00160185" w:rsidRPr="00160185" w:rsidRDefault="00160185" w:rsidP="00160185">
      <w:pPr>
        <w:spacing w:before="100" w:beforeAutospacing="1" w:after="100" w:afterAutospacing="1" w:line="240" w:lineRule="auto"/>
        <w:rPr>
          <w:rFonts w:ascii="Times New Roman" w:eastAsia="Times New Roman" w:hAnsi="Times New Roman" w:cs="Times New Roman"/>
          <w:sz w:val="24"/>
          <w:szCs w:val="24"/>
        </w:rPr>
      </w:pPr>
      <w:r w:rsidRPr="00160185">
        <w:rPr>
          <w:rFonts w:ascii="Times New Roman" w:eastAsia="Times New Roman" w:hAnsi="Times New Roman" w:cs="Times New Roman"/>
          <w:sz w:val="24"/>
          <w:szCs w:val="24"/>
        </w:rPr>
        <w:t xml:space="preserve">We are grateful to B. </w:t>
      </w:r>
      <w:proofErr w:type="spellStart"/>
      <w:r w:rsidRPr="00160185">
        <w:rPr>
          <w:rFonts w:ascii="Times New Roman" w:eastAsia="Times New Roman" w:hAnsi="Times New Roman" w:cs="Times New Roman"/>
          <w:sz w:val="24"/>
          <w:szCs w:val="24"/>
        </w:rPr>
        <w:t>Baeyens</w:t>
      </w:r>
      <w:proofErr w:type="spellEnd"/>
      <w:r w:rsidRPr="00160185">
        <w:rPr>
          <w:rFonts w:ascii="Times New Roman" w:eastAsia="Times New Roman" w:hAnsi="Times New Roman" w:cs="Times New Roman"/>
          <w:sz w:val="24"/>
          <w:szCs w:val="24"/>
        </w:rPr>
        <w:t>, an anonymous reviewer, and Associate Editor D. L. Sparks for constructive comments on an earlier draft. This research was supported by the Environmental Management Science Program of the Office of Science, U. S. Department of Energy, grants DE-FG07-99ER15012 and DE-FG07-02ER63504.</w:t>
      </w:r>
    </w:p>
    <w:p w:rsidR="0068311F" w:rsidRDefault="0068311F"/>
    <w:sectPr w:rsidR="0068311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185"/>
    <w:rsid w:val="00160185"/>
    <w:rsid w:val="006831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B5F31"/>
  <w15:chartTrackingRefBased/>
  <w15:docId w15:val="{3532A8BF-0E23-47BF-B070-3B89F19DA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2370962">
      <w:bodyDiv w:val="1"/>
      <w:marLeft w:val="0"/>
      <w:marRight w:val="0"/>
      <w:marTop w:val="0"/>
      <w:marBottom w:val="0"/>
      <w:divBdr>
        <w:top w:val="none" w:sz="0" w:space="0" w:color="auto"/>
        <w:left w:val="none" w:sz="0" w:space="0" w:color="auto"/>
        <w:bottom w:val="none" w:sz="0" w:space="0" w:color="auto"/>
        <w:right w:val="none" w:sz="0" w:space="0" w:color="auto"/>
      </w:divBdr>
      <w:divsChild>
        <w:div w:id="215825050">
          <w:marLeft w:val="0"/>
          <w:marRight w:val="0"/>
          <w:marTop w:val="0"/>
          <w:marBottom w:val="0"/>
          <w:divBdr>
            <w:top w:val="none" w:sz="0" w:space="0" w:color="auto"/>
            <w:left w:val="none" w:sz="0" w:space="0" w:color="auto"/>
            <w:bottom w:val="none" w:sz="0" w:space="0" w:color="auto"/>
            <w:right w:val="none" w:sz="0" w:space="0" w:color="auto"/>
          </w:divBdr>
          <w:divsChild>
            <w:div w:id="527259528">
              <w:marLeft w:val="0"/>
              <w:marRight w:val="0"/>
              <w:marTop w:val="0"/>
              <w:marBottom w:val="0"/>
              <w:divBdr>
                <w:top w:val="none" w:sz="0" w:space="0" w:color="auto"/>
                <w:left w:val="none" w:sz="0" w:space="0" w:color="auto"/>
                <w:bottom w:val="none" w:sz="0" w:space="0" w:color="auto"/>
                <w:right w:val="none" w:sz="0" w:space="0" w:color="auto"/>
              </w:divBdr>
              <w:divsChild>
                <w:div w:id="2080857896">
                  <w:marLeft w:val="0"/>
                  <w:marRight w:val="0"/>
                  <w:marTop w:val="0"/>
                  <w:marBottom w:val="0"/>
                  <w:divBdr>
                    <w:top w:val="none" w:sz="0" w:space="0" w:color="auto"/>
                    <w:left w:val="none" w:sz="0" w:space="0" w:color="auto"/>
                    <w:bottom w:val="none" w:sz="0" w:space="0" w:color="auto"/>
                    <w:right w:val="none" w:sz="0" w:space="0" w:color="auto"/>
                  </w:divBdr>
                  <w:divsChild>
                    <w:div w:id="2047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235016">
          <w:marLeft w:val="0"/>
          <w:marRight w:val="0"/>
          <w:marTop w:val="0"/>
          <w:marBottom w:val="0"/>
          <w:divBdr>
            <w:top w:val="none" w:sz="0" w:space="0" w:color="auto"/>
            <w:left w:val="none" w:sz="0" w:space="0" w:color="auto"/>
            <w:bottom w:val="none" w:sz="0" w:space="0" w:color="auto"/>
            <w:right w:val="none" w:sz="0" w:space="0" w:color="auto"/>
          </w:divBdr>
          <w:divsChild>
            <w:div w:id="305863363">
              <w:marLeft w:val="0"/>
              <w:marRight w:val="0"/>
              <w:marTop w:val="0"/>
              <w:marBottom w:val="0"/>
              <w:divBdr>
                <w:top w:val="none" w:sz="0" w:space="0" w:color="auto"/>
                <w:left w:val="none" w:sz="0" w:space="0" w:color="auto"/>
                <w:bottom w:val="none" w:sz="0" w:space="0" w:color="auto"/>
                <w:right w:val="none" w:sz="0" w:space="0" w:color="auto"/>
              </w:divBdr>
              <w:divsChild>
                <w:div w:id="2052458250">
                  <w:marLeft w:val="0"/>
                  <w:marRight w:val="0"/>
                  <w:marTop w:val="0"/>
                  <w:marBottom w:val="0"/>
                  <w:divBdr>
                    <w:top w:val="none" w:sz="0" w:space="0" w:color="auto"/>
                    <w:left w:val="none" w:sz="0" w:space="0" w:color="auto"/>
                    <w:bottom w:val="none" w:sz="0" w:space="0" w:color="auto"/>
                    <w:right w:val="none" w:sz="0" w:space="0" w:color="auto"/>
                  </w:divBdr>
                  <w:divsChild>
                    <w:div w:id="98462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798818">
          <w:marLeft w:val="0"/>
          <w:marRight w:val="0"/>
          <w:marTop w:val="0"/>
          <w:marBottom w:val="0"/>
          <w:divBdr>
            <w:top w:val="none" w:sz="0" w:space="0" w:color="auto"/>
            <w:left w:val="none" w:sz="0" w:space="0" w:color="auto"/>
            <w:bottom w:val="none" w:sz="0" w:space="0" w:color="auto"/>
            <w:right w:val="none" w:sz="0" w:space="0" w:color="auto"/>
          </w:divBdr>
          <w:divsChild>
            <w:div w:id="383066870">
              <w:marLeft w:val="0"/>
              <w:marRight w:val="0"/>
              <w:marTop w:val="0"/>
              <w:marBottom w:val="0"/>
              <w:divBdr>
                <w:top w:val="none" w:sz="0" w:space="0" w:color="auto"/>
                <w:left w:val="none" w:sz="0" w:space="0" w:color="auto"/>
                <w:bottom w:val="none" w:sz="0" w:space="0" w:color="auto"/>
                <w:right w:val="none" w:sz="0" w:space="0" w:color="auto"/>
              </w:divBdr>
            </w:div>
          </w:divsChild>
        </w:div>
        <w:div w:id="276719496">
          <w:marLeft w:val="0"/>
          <w:marRight w:val="0"/>
          <w:marTop w:val="0"/>
          <w:marBottom w:val="0"/>
          <w:divBdr>
            <w:top w:val="none" w:sz="0" w:space="0" w:color="auto"/>
            <w:left w:val="none" w:sz="0" w:space="0" w:color="auto"/>
            <w:bottom w:val="none" w:sz="0" w:space="0" w:color="auto"/>
            <w:right w:val="none" w:sz="0" w:space="0" w:color="auto"/>
          </w:divBdr>
          <w:divsChild>
            <w:div w:id="142700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montmorillonite"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vermiculite"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radioactive-isotope" TargetMode="External"/><Relationship Id="rId11" Type="http://schemas.openxmlformats.org/officeDocument/2006/relationships/hyperlink" Target="https://www.sciencedirect.com/topics/earth-and-planetary-sciences/sorption" TargetMode="External"/><Relationship Id="rId5" Type="http://schemas.openxmlformats.org/officeDocument/2006/relationships/hyperlink" Target="https://www.sciencedirect.com/topics/earth-and-planetary-sciences/radioactive-waste" TargetMode="External"/><Relationship Id="rId10" Type="http://schemas.openxmlformats.org/officeDocument/2006/relationships/hyperlink" Target="https://www.sciencedirect.com/topics/earth-and-planetary-sciences/oxalic-acid" TargetMode="External"/><Relationship Id="rId4" Type="http://schemas.openxmlformats.org/officeDocument/2006/relationships/hyperlink" Target="https://doi.org/10.1016/j.gca.2005.04.003" TargetMode="External"/><Relationship Id="rId9" Type="http://schemas.openxmlformats.org/officeDocument/2006/relationships/hyperlink" Target="https://www.sciencedirect.com/topics/earth-and-planetary-sciences/aluminosilic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1789</Words>
  <Characters>10199</Characters>
  <Application>Microsoft Office Word</Application>
  <DocSecurity>0</DocSecurity>
  <Lines>84</Lines>
  <Paragraphs>23</Paragraphs>
  <ScaleCrop>false</ScaleCrop>
  <Company/>
  <LinksUpToDate>false</LinksUpToDate>
  <CharactersWithSpaces>11965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2023-11-18T03:27:00Z</dcterms:created>
  <dcterms:modified xsi:type="dcterms:W3CDTF">2023-11-18T03:27:00Z</dcterms:modified>
</cp:coreProperties>
</file>