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873497" w:rsidRPr="00873497" w:rsidRDefault="00873497" w:rsidP="00873497">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873497">
        <w:rPr>
          <w:rFonts w:ascii="Times New Roman" w:eastAsia="Times New Roman" w:hAnsi="Times New Roman" w:cs="Times New Roman"/>
          <w:b/>
          <w:bCs/>
          <w:kern w:val="36"/>
          <w:sz w:val="48"/>
          <w:szCs w:val="48"/>
        </w:rPr>
        <w:t>Size discontinuity between interstellar and chondritic aromatic structures: A high-resolution transmission electron microscopy study</w:t>
      </w:r>
    </w:p>
    <w:p w:rsidR="00873497" w:rsidRPr="00873497" w:rsidRDefault="00873497" w:rsidP="00873497">
      <w:pPr>
        <w:spacing w:after="0" w:line="240" w:lineRule="auto"/>
        <w:rPr>
          <w:rFonts w:ascii="Times New Roman" w:eastAsia="Times New Roman" w:hAnsi="Times New Roman" w:cs="Times New Roman"/>
          <w:sz w:val="24"/>
          <w:szCs w:val="24"/>
        </w:rPr>
      </w:pPr>
      <w:r w:rsidRPr="00873497">
        <w:rPr>
          <w:rFonts w:ascii="Times New Roman" w:eastAsia="Times New Roman" w:hAnsi="Times New Roman" w:cs="Times New Roman"/>
          <w:sz w:val="24"/>
          <w:szCs w:val="24"/>
        </w:rPr>
        <w:t>Author links open overlay panel</w:t>
      </w:r>
    </w:p>
    <w:p w:rsidR="00873497" w:rsidRPr="00873497" w:rsidRDefault="00873497" w:rsidP="00873497">
      <w:pPr>
        <w:spacing w:after="0" w:line="240" w:lineRule="auto"/>
        <w:rPr>
          <w:rFonts w:ascii="Times New Roman" w:eastAsia="Times New Roman" w:hAnsi="Times New Roman" w:cs="Times New Roman"/>
          <w:sz w:val="24"/>
          <w:szCs w:val="24"/>
        </w:rPr>
      </w:pPr>
      <w:r w:rsidRPr="00873497">
        <w:rPr>
          <w:rFonts w:ascii="Times New Roman" w:eastAsia="Times New Roman" w:hAnsi="Times New Roman" w:cs="Times New Roman"/>
          <w:sz w:val="24"/>
          <w:szCs w:val="24"/>
        </w:rPr>
        <w:t xml:space="preserve">, , , </w:t>
      </w:r>
    </w:p>
    <w:p w:rsidR="00873497" w:rsidRPr="00873497" w:rsidRDefault="00873497" w:rsidP="00873497">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873497">
          <w:rPr>
            <w:rFonts w:ascii="Times New Roman" w:eastAsia="Times New Roman" w:hAnsi="Times New Roman" w:cs="Times New Roman"/>
            <w:color w:val="0000FF"/>
            <w:sz w:val="24"/>
            <w:szCs w:val="24"/>
            <w:u w:val="single"/>
          </w:rPr>
          <w:t>https://doi.org/10.1016/j.gca.2005.02.029</w:t>
        </w:r>
      </w:hyperlink>
      <w:bookmarkStart w:id="0" w:name="_GoBack"/>
      <w:bookmarkEnd w:id="0"/>
      <w:r w:rsidRPr="00873497">
        <w:rPr>
          <w:rFonts w:ascii="Times New Roman" w:eastAsia="Times New Roman" w:hAnsi="Times New Roman" w:cs="Times New Roman"/>
          <w:sz w:val="24"/>
          <w:szCs w:val="24"/>
        </w:rPr>
        <w:t xml:space="preserve"> </w:t>
      </w:r>
    </w:p>
    <w:p w:rsidR="00873497" w:rsidRPr="00873497" w:rsidRDefault="00873497" w:rsidP="00873497">
      <w:pPr>
        <w:spacing w:before="100" w:beforeAutospacing="1" w:after="100" w:afterAutospacing="1" w:line="240" w:lineRule="auto"/>
        <w:outlineLvl w:val="1"/>
        <w:rPr>
          <w:rFonts w:ascii="Times New Roman" w:eastAsia="Times New Roman" w:hAnsi="Times New Roman" w:cs="Times New Roman"/>
          <w:b/>
          <w:bCs/>
          <w:sz w:val="36"/>
          <w:szCs w:val="36"/>
        </w:rPr>
      </w:pPr>
      <w:r w:rsidRPr="00873497">
        <w:rPr>
          <w:rFonts w:ascii="Times New Roman" w:eastAsia="Times New Roman" w:hAnsi="Times New Roman" w:cs="Times New Roman"/>
          <w:b/>
          <w:bCs/>
          <w:sz w:val="36"/>
          <w:szCs w:val="36"/>
        </w:rPr>
        <w:t>Abstract</w:t>
      </w:r>
    </w:p>
    <w:p w:rsidR="00873497" w:rsidRPr="00873497" w:rsidRDefault="00873497" w:rsidP="00873497">
      <w:pPr>
        <w:spacing w:before="100" w:beforeAutospacing="1" w:after="100" w:afterAutospacing="1" w:line="240" w:lineRule="auto"/>
        <w:rPr>
          <w:rFonts w:ascii="Times New Roman" w:eastAsia="Times New Roman" w:hAnsi="Times New Roman" w:cs="Times New Roman"/>
          <w:sz w:val="24"/>
          <w:szCs w:val="24"/>
        </w:rPr>
      </w:pPr>
      <w:r w:rsidRPr="00873497">
        <w:rPr>
          <w:rFonts w:ascii="Times New Roman" w:eastAsia="Times New Roman" w:hAnsi="Times New Roman" w:cs="Times New Roman"/>
          <w:sz w:val="24"/>
          <w:szCs w:val="24"/>
        </w:rPr>
        <w:t xml:space="preserve">Polyaromatic hydrocarbons (PAHs) are often considered as abundant and widespread organic structures in the universe and such structures are known to build the macromolecular network of the organic matter in carbonaceous </w:t>
      </w:r>
      <w:hyperlink r:id="rId5" w:tooltip="Learn more about chondrites from ScienceDirect's AI-generated Topic Pages" w:history="1">
        <w:r w:rsidRPr="00873497">
          <w:rPr>
            <w:rFonts w:ascii="Times New Roman" w:eastAsia="Times New Roman" w:hAnsi="Times New Roman" w:cs="Times New Roman"/>
            <w:color w:val="0000FF"/>
            <w:sz w:val="24"/>
            <w:szCs w:val="24"/>
            <w:u w:val="single"/>
          </w:rPr>
          <w:t>chondrites</w:t>
        </w:r>
      </w:hyperlink>
      <w:r w:rsidRPr="00873497">
        <w:rPr>
          <w:rFonts w:ascii="Times New Roman" w:eastAsia="Times New Roman" w:hAnsi="Times New Roman" w:cs="Times New Roman"/>
          <w:sz w:val="24"/>
          <w:szCs w:val="24"/>
        </w:rPr>
        <w:t xml:space="preserve">. Assuming that interstellar PAHs are properly identified from infrared bands, these meteoritic aromatic moieties can be compared with their interstellar counterpart. The main structural parameters of the aromatic units of the insoluble organic matter of the </w:t>
      </w:r>
      <w:proofErr w:type="spellStart"/>
      <w:r w:rsidRPr="00873497">
        <w:rPr>
          <w:rFonts w:ascii="Times New Roman" w:eastAsia="Times New Roman" w:hAnsi="Times New Roman" w:cs="Times New Roman"/>
          <w:sz w:val="24"/>
          <w:szCs w:val="24"/>
        </w:rPr>
        <w:t>Orgueil</w:t>
      </w:r>
      <w:proofErr w:type="spellEnd"/>
      <w:r w:rsidRPr="00873497">
        <w:rPr>
          <w:rFonts w:ascii="Times New Roman" w:eastAsia="Times New Roman" w:hAnsi="Times New Roman" w:cs="Times New Roman"/>
          <w:sz w:val="24"/>
          <w:szCs w:val="24"/>
        </w:rPr>
        <w:t xml:space="preserve"> and Murchison chondrites are directly determined through high resolution </w:t>
      </w:r>
      <w:hyperlink r:id="rId6" w:tooltip="Learn more about transmission electron microscopy from ScienceDirect's AI-generated Topic Pages" w:history="1">
        <w:r w:rsidRPr="00873497">
          <w:rPr>
            <w:rFonts w:ascii="Times New Roman" w:eastAsia="Times New Roman" w:hAnsi="Times New Roman" w:cs="Times New Roman"/>
            <w:color w:val="0000FF"/>
            <w:sz w:val="24"/>
            <w:szCs w:val="24"/>
            <w:u w:val="single"/>
          </w:rPr>
          <w:t>transmission electron microscopy</w:t>
        </w:r>
      </w:hyperlink>
      <w:r w:rsidRPr="00873497">
        <w:rPr>
          <w:rFonts w:ascii="Times New Roman" w:eastAsia="Times New Roman" w:hAnsi="Times New Roman" w:cs="Times New Roman"/>
          <w:sz w:val="24"/>
          <w:szCs w:val="24"/>
        </w:rPr>
        <w:t xml:space="preserve"> along with image analysis. These aromatic moieties appear weakly organized and of a smaller size than those present in the interstellar medium (containing </w:t>
      </w:r>
      <w:r w:rsidRPr="00873497">
        <w:rPr>
          <w:rFonts w:ascii="Cambria Math" w:eastAsia="Times New Roman" w:hAnsi="Cambria Math" w:cs="Cambria Math"/>
          <w:sz w:val="24"/>
          <w:szCs w:val="24"/>
        </w:rPr>
        <w:t>∼</w:t>
      </w:r>
      <w:r w:rsidRPr="00873497">
        <w:rPr>
          <w:rFonts w:ascii="Times New Roman" w:eastAsia="Times New Roman" w:hAnsi="Times New Roman" w:cs="Times New Roman"/>
          <w:sz w:val="24"/>
          <w:szCs w:val="24"/>
        </w:rPr>
        <w:t xml:space="preserve">30 and </w:t>
      </w:r>
      <w:r w:rsidRPr="00873497">
        <w:rPr>
          <w:rFonts w:ascii="Cambria Math" w:eastAsia="Times New Roman" w:hAnsi="Cambria Math" w:cs="Cambria Math"/>
          <w:sz w:val="24"/>
          <w:szCs w:val="24"/>
        </w:rPr>
        <w:t>∼</w:t>
      </w:r>
      <w:r w:rsidRPr="00873497">
        <w:rPr>
          <w:rFonts w:ascii="Times New Roman" w:eastAsia="Times New Roman" w:hAnsi="Times New Roman" w:cs="Times New Roman"/>
          <w:sz w:val="24"/>
          <w:szCs w:val="24"/>
        </w:rPr>
        <w:t xml:space="preserve">150 C atoms). Provided chondritic and interstellar polyaromatic hydrocarbons are derived from a similar </w:t>
      </w:r>
      <w:proofErr w:type="spellStart"/>
      <w:r w:rsidRPr="00873497">
        <w:rPr>
          <w:rFonts w:ascii="Times New Roman" w:eastAsia="Times New Roman" w:hAnsi="Times New Roman" w:cs="Times New Roman"/>
          <w:sz w:val="24"/>
          <w:szCs w:val="24"/>
        </w:rPr>
        <w:t>organosynthesis</w:t>
      </w:r>
      <w:proofErr w:type="spellEnd"/>
      <w:r w:rsidRPr="00873497">
        <w:rPr>
          <w:rFonts w:ascii="Times New Roman" w:eastAsia="Times New Roman" w:hAnsi="Times New Roman" w:cs="Times New Roman"/>
          <w:sz w:val="24"/>
          <w:szCs w:val="24"/>
        </w:rPr>
        <w:t xml:space="preserve">, the smaller units were selectively preserved in meteorites, likely thanks to their fast accumulation on grains, which would protect them from solar UV </w:t>
      </w:r>
      <w:hyperlink r:id="rId7" w:tooltip="Learn more about photodissociation from ScienceDirect's AI-generated Topic Pages" w:history="1">
        <w:r w:rsidRPr="00873497">
          <w:rPr>
            <w:rFonts w:ascii="Times New Roman" w:eastAsia="Times New Roman" w:hAnsi="Times New Roman" w:cs="Times New Roman"/>
            <w:color w:val="0000FF"/>
            <w:sz w:val="24"/>
            <w:szCs w:val="24"/>
            <w:u w:val="single"/>
          </w:rPr>
          <w:t>photodissociation</w:t>
        </w:r>
      </w:hyperlink>
      <w:r w:rsidRPr="00873497">
        <w:rPr>
          <w:rFonts w:ascii="Times New Roman" w:eastAsia="Times New Roman" w:hAnsi="Times New Roman" w:cs="Times New Roman"/>
          <w:sz w:val="24"/>
          <w:szCs w:val="24"/>
        </w:rPr>
        <w:t xml:space="preserve"> at the surface of the </w:t>
      </w:r>
      <w:proofErr w:type="spellStart"/>
      <w:r w:rsidRPr="00873497">
        <w:rPr>
          <w:rFonts w:ascii="Times New Roman" w:eastAsia="Times New Roman" w:hAnsi="Times New Roman" w:cs="Times New Roman"/>
          <w:sz w:val="24"/>
          <w:szCs w:val="24"/>
        </w:rPr>
        <w:t>protosolar</w:t>
      </w:r>
      <w:proofErr w:type="spellEnd"/>
      <w:r w:rsidRPr="00873497">
        <w:rPr>
          <w:rFonts w:ascii="Times New Roman" w:eastAsia="Times New Roman" w:hAnsi="Times New Roman" w:cs="Times New Roman"/>
          <w:sz w:val="24"/>
          <w:szCs w:val="24"/>
        </w:rPr>
        <w:t xml:space="preserve"> disk.</w:t>
      </w:r>
    </w:p>
    <w:p w:rsidR="00873497" w:rsidRPr="00873497" w:rsidRDefault="00873497" w:rsidP="00873497">
      <w:pPr>
        <w:spacing w:before="100" w:beforeAutospacing="1" w:after="100" w:afterAutospacing="1" w:line="240" w:lineRule="auto"/>
        <w:outlineLvl w:val="1"/>
        <w:rPr>
          <w:rFonts w:ascii="Times New Roman" w:eastAsia="Times New Roman" w:hAnsi="Times New Roman" w:cs="Times New Roman"/>
          <w:b/>
          <w:bCs/>
          <w:sz w:val="36"/>
          <w:szCs w:val="36"/>
        </w:rPr>
      </w:pPr>
      <w:r w:rsidRPr="00873497">
        <w:rPr>
          <w:rFonts w:ascii="Times New Roman" w:eastAsia="Times New Roman" w:hAnsi="Times New Roman" w:cs="Times New Roman"/>
          <w:b/>
          <w:bCs/>
          <w:sz w:val="36"/>
          <w:szCs w:val="36"/>
        </w:rPr>
        <w:t>Introduction</w:t>
      </w:r>
    </w:p>
    <w:p w:rsidR="00873497" w:rsidRPr="00873497" w:rsidRDefault="00873497" w:rsidP="00873497">
      <w:pPr>
        <w:spacing w:before="100" w:beforeAutospacing="1" w:after="100" w:afterAutospacing="1" w:line="240" w:lineRule="auto"/>
        <w:rPr>
          <w:rFonts w:ascii="Times New Roman" w:eastAsia="Times New Roman" w:hAnsi="Times New Roman" w:cs="Times New Roman"/>
          <w:sz w:val="24"/>
          <w:szCs w:val="24"/>
        </w:rPr>
      </w:pPr>
      <w:r w:rsidRPr="00873497">
        <w:rPr>
          <w:rFonts w:ascii="Times New Roman" w:eastAsia="Times New Roman" w:hAnsi="Times New Roman" w:cs="Times New Roman"/>
          <w:sz w:val="24"/>
          <w:szCs w:val="24"/>
        </w:rPr>
        <w:t xml:space="preserve">Carbonaceous chondrites contain substantial amounts of carbon, the major part of which occurs as an insoluble refractory fraction. Although this fraction has been less extensively studied than the soluble one, it is now well established that the chemical structure of this macromolecular material is based on aromatic moieties linked by short aliphatic chains and comprising substantial amounts of heteroatoms. However, these aromatic units are poorly characterized and, especially, their size is still an unanswered question. Indeed, at first, based on comparison with mature terrestrial coals and solid state </w:t>
      </w:r>
      <w:r w:rsidRPr="00873497">
        <w:rPr>
          <w:rFonts w:ascii="Times New Roman" w:eastAsia="Times New Roman" w:hAnsi="Times New Roman" w:cs="Times New Roman"/>
          <w:sz w:val="24"/>
          <w:szCs w:val="24"/>
          <w:vertAlign w:val="superscript"/>
        </w:rPr>
        <w:t>13</w:t>
      </w:r>
      <w:r w:rsidRPr="00873497">
        <w:rPr>
          <w:rFonts w:ascii="Times New Roman" w:eastAsia="Times New Roman" w:hAnsi="Times New Roman" w:cs="Times New Roman"/>
          <w:sz w:val="24"/>
          <w:szCs w:val="24"/>
        </w:rPr>
        <w:t>C-NMR studies, large polyaromatic structures were considered for the aromatic moieties in the insoluble organic matter (IOM) of meteorites (</w:t>
      </w:r>
      <w:proofErr w:type="spellStart"/>
      <w:r w:rsidRPr="00873497">
        <w:rPr>
          <w:rFonts w:ascii="Times New Roman" w:eastAsia="Times New Roman" w:hAnsi="Times New Roman" w:cs="Times New Roman"/>
          <w:sz w:val="24"/>
          <w:szCs w:val="24"/>
        </w:rPr>
        <w:t>Hayatsu</w:t>
      </w:r>
      <w:proofErr w:type="spellEnd"/>
      <w:r w:rsidRPr="00873497">
        <w:rPr>
          <w:rFonts w:ascii="Times New Roman" w:eastAsia="Times New Roman" w:hAnsi="Times New Roman" w:cs="Times New Roman"/>
          <w:sz w:val="24"/>
          <w:szCs w:val="24"/>
        </w:rPr>
        <w:t xml:space="preserve"> et al 1977, Cronin et al 1987). In contrast, a number of studies, mainly based on thermal and chemical degradation, pointed to smaller aromatic clusters (e.g., </w:t>
      </w:r>
      <w:proofErr w:type="spellStart"/>
      <w:r w:rsidRPr="00873497">
        <w:rPr>
          <w:rFonts w:ascii="Times New Roman" w:eastAsia="Times New Roman" w:hAnsi="Times New Roman" w:cs="Times New Roman"/>
          <w:sz w:val="24"/>
          <w:szCs w:val="24"/>
        </w:rPr>
        <w:t>Hayatsu</w:t>
      </w:r>
      <w:proofErr w:type="spellEnd"/>
      <w:r w:rsidRPr="00873497">
        <w:rPr>
          <w:rFonts w:ascii="Times New Roman" w:eastAsia="Times New Roman" w:hAnsi="Times New Roman" w:cs="Times New Roman"/>
          <w:sz w:val="24"/>
          <w:szCs w:val="24"/>
        </w:rPr>
        <w:t xml:space="preserve"> et al 1983, </w:t>
      </w:r>
      <w:proofErr w:type="spellStart"/>
      <w:r w:rsidRPr="00873497">
        <w:rPr>
          <w:rFonts w:ascii="Times New Roman" w:eastAsia="Times New Roman" w:hAnsi="Times New Roman" w:cs="Times New Roman"/>
          <w:sz w:val="24"/>
          <w:szCs w:val="24"/>
        </w:rPr>
        <w:t>Sephton</w:t>
      </w:r>
      <w:proofErr w:type="spellEnd"/>
      <w:r w:rsidRPr="00873497">
        <w:rPr>
          <w:rFonts w:ascii="Times New Roman" w:eastAsia="Times New Roman" w:hAnsi="Times New Roman" w:cs="Times New Roman"/>
          <w:sz w:val="24"/>
          <w:szCs w:val="24"/>
        </w:rPr>
        <w:t xml:space="preserve"> et al 1998). Moreover, we have recently shown that the NMR spectra of the IOM of </w:t>
      </w:r>
      <w:proofErr w:type="spellStart"/>
      <w:r w:rsidRPr="00873497">
        <w:rPr>
          <w:rFonts w:ascii="Times New Roman" w:eastAsia="Times New Roman" w:hAnsi="Times New Roman" w:cs="Times New Roman"/>
          <w:sz w:val="24"/>
          <w:szCs w:val="24"/>
        </w:rPr>
        <w:t>Orgueil</w:t>
      </w:r>
      <w:proofErr w:type="spellEnd"/>
      <w:r w:rsidRPr="00873497">
        <w:rPr>
          <w:rFonts w:ascii="Times New Roman" w:eastAsia="Times New Roman" w:hAnsi="Times New Roman" w:cs="Times New Roman"/>
          <w:sz w:val="24"/>
          <w:szCs w:val="24"/>
        </w:rPr>
        <w:t xml:space="preserve"> and Murchison are in fact consistent with small aromatic units provided they contain only a few peripheral hydrogens, i.e., they would be highly substituted (</w:t>
      </w:r>
      <w:proofErr w:type="spellStart"/>
      <w:r w:rsidRPr="00873497">
        <w:rPr>
          <w:rFonts w:ascii="Times New Roman" w:eastAsia="Times New Roman" w:hAnsi="Times New Roman" w:cs="Times New Roman"/>
          <w:sz w:val="24"/>
          <w:szCs w:val="24"/>
        </w:rPr>
        <w:t>Gardinier</w:t>
      </w:r>
      <w:proofErr w:type="spellEnd"/>
      <w:r w:rsidRPr="00873497">
        <w:rPr>
          <w:rFonts w:ascii="Times New Roman" w:eastAsia="Times New Roman" w:hAnsi="Times New Roman" w:cs="Times New Roman"/>
          <w:sz w:val="24"/>
          <w:szCs w:val="24"/>
        </w:rPr>
        <w:t xml:space="preserve"> et al 1998, </w:t>
      </w:r>
      <w:proofErr w:type="spellStart"/>
      <w:r w:rsidRPr="00873497">
        <w:rPr>
          <w:rFonts w:ascii="Times New Roman" w:eastAsia="Times New Roman" w:hAnsi="Times New Roman" w:cs="Times New Roman"/>
          <w:sz w:val="24"/>
          <w:szCs w:val="24"/>
        </w:rPr>
        <w:t>Gardinier</w:t>
      </w:r>
      <w:proofErr w:type="spellEnd"/>
      <w:r w:rsidRPr="00873497">
        <w:rPr>
          <w:rFonts w:ascii="Times New Roman" w:eastAsia="Times New Roman" w:hAnsi="Times New Roman" w:cs="Times New Roman"/>
          <w:sz w:val="24"/>
          <w:szCs w:val="24"/>
        </w:rPr>
        <w:t xml:space="preserve"> et al 2000). Cody et al. (2002) reached the same conclusion on Murchison. However, no direct information on the size of the aromatic units of the chondritic IOM has been reported so far.</w:t>
      </w:r>
    </w:p>
    <w:p w:rsidR="00873497" w:rsidRPr="00873497" w:rsidRDefault="00873497" w:rsidP="00873497">
      <w:pPr>
        <w:spacing w:before="100" w:beforeAutospacing="1" w:after="100" w:afterAutospacing="1" w:line="240" w:lineRule="auto"/>
        <w:rPr>
          <w:rFonts w:ascii="Times New Roman" w:eastAsia="Times New Roman" w:hAnsi="Times New Roman" w:cs="Times New Roman"/>
          <w:sz w:val="24"/>
          <w:szCs w:val="24"/>
        </w:rPr>
      </w:pPr>
      <w:r w:rsidRPr="00873497">
        <w:rPr>
          <w:rFonts w:ascii="Times New Roman" w:eastAsia="Times New Roman" w:hAnsi="Times New Roman" w:cs="Times New Roman"/>
          <w:sz w:val="24"/>
          <w:szCs w:val="24"/>
        </w:rPr>
        <w:t xml:space="preserve">Determining the size of these aromatic moieties is important for several reasons. Indeed, polyaromatic structures are abundant and widespread type of organic structures in the universe, due </w:t>
      </w:r>
      <w:r w:rsidRPr="00873497">
        <w:rPr>
          <w:rFonts w:ascii="Times New Roman" w:eastAsia="Times New Roman" w:hAnsi="Times New Roman" w:cs="Times New Roman"/>
          <w:sz w:val="24"/>
          <w:szCs w:val="24"/>
        </w:rPr>
        <w:lastRenderedPageBreak/>
        <w:t xml:space="preserve">probably to their high stability. They are observed in a wide variety of interstellar environments and are commonly termed PAHs whatever their precise structure. It is generally considered that PAHs in the interstellar medium occur as free molecules in the gas phase (Puget and Léger 1989, </w:t>
      </w:r>
      <w:proofErr w:type="spellStart"/>
      <w:r w:rsidRPr="00873497">
        <w:rPr>
          <w:rFonts w:ascii="Times New Roman" w:eastAsia="Times New Roman" w:hAnsi="Times New Roman" w:cs="Times New Roman"/>
          <w:sz w:val="24"/>
          <w:szCs w:val="24"/>
        </w:rPr>
        <w:t>Allamandola</w:t>
      </w:r>
      <w:proofErr w:type="spellEnd"/>
      <w:r w:rsidRPr="00873497">
        <w:rPr>
          <w:rFonts w:ascii="Times New Roman" w:eastAsia="Times New Roman" w:hAnsi="Times New Roman" w:cs="Times New Roman"/>
          <w:sz w:val="24"/>
          <w:szCs w:val="24"/>
        </w:rPr>
        <w:t xml:space="preserve"> et al 1999, </w:t>
      </w:r>
      <w:proofErr w:type="spellStart"/>
      <w:r w:rsidRPr="00873497">
        <w:rPr>
          <w:rFonts w:ascii="Times New Roman" w:eastAsia="Times New Roman" w:hAnsi="Times New Roman" w:cs="Times New Roman"/>
          <w:sz w:val="24"/>
          <w:szCs w:val="24"/>
        </w:rPr>
        <w:t>Ehrenfreund</w:t>
      </w:r>
      <w:proofErr w:type="spellEnd"/>
      <w:r w:rsidRPr="00873497">
        <w:rPr>
          <w:rFonts w:ascii="Times New Roman" w:eastAsia="Times New Roman" w:hAnsi="Times New Roman" w:cs="Times New Roman"/>
          <w:sz w:val="24"/>
          <w:szCs w:val="24"/>
        </w:rPr>
        <w:t xml:space="preserve"> and Charnley 2000) but it must be noted that an alternative interpretation of the interstellar infrared spectrum has been put forward, pointing to the occurrence of large polyaromatic structures in grains (</w:t>
      </w:r>
      <w:proofErr w:type="spellStart"/>
      <w:r w:rsidRPr="00873497">
        <w:rPr>
          <w:rFonts w:ascii="Times New Roman" w:eastAsia="Times New Roman" w:hAnsi="Times New Roman" w:cs="Times New Roman"/>
          <w:sz w:val="24"/>
          <w:szCs w:val="24"/>
        </w:rPr>
        <w:t>Papoular</w:t>
      </w:r>
      <w:proofErr w:type="spellEnd"/>
      <w:r w:rsidRPr="00873497">
        <w:rPr>
          <w:rFonts w:ascii="Times New Roman" w:eastAsia="Times New Roman" w:hAnsi="Times New Roman" w:cs="Times New Roman"/>
          <w:sz w:val="24"/>
          <w:szCs w:val="24"/>
        </w:rPr>
        <w:t xml:space="preserve"> et al 1996, Reynaud et al 2001). However the interpretation of the interstellar IR bands has been challenged (</w:t>
      </w:r>
      <w:proofErr w:type="spellStart"/>
      <w:r w:rsidRPr="00873497">
        <w:rPr>
          <w:rFonts w:ascii="Times New Roman" w:eastAsia="Times New Roman" w:hAnsi="Times New Roman" w:cs="Times New Roman"/>
          <w:sz w:val="24"/>
          <w:szCs w:val="24"/>
        </w:rPr>
        <w:t>i</w:t>
      </w:r>
      <w:proofErr w:type="spellEnd"/>
      <w:r w:rsidRPr="00873497">
        <w:rPr>
          <w:rFonts w:ascii="Times New Roman" w:eastAsia="Times New Roman" w:hAnsi="Times New Roman" w:cs="Times New Roman"/>
          <w:sz w:val="24"/>
          <w:szCs w:val="24"/>
        </w:rPr>
        <w:t xml:space="preserve">) experimentally by showing that PAH emission features do not match exactly the natural spectra (Wagner et al 2000, Kim et al 2001, Kim and </w:t>
      </w:r>
      <w:proofErr w:type="spellStart"/>
      <w:r w:rsidRPr="00873497">
        <w:rPr>
          <w:rFonts w:ascii="Times New Roman" w:eastAsia="Times New Roman" w:hAnsi="Times New Roman" w:cs="Times New Roman"/>
          <w:sz w:val="24"/>
          <w:szCs w:val="24"/>
        </w:rPr>
        <w:t>Saykally</w:t>
      </w:r>
      <w:proofErr w:type="spellEnd"/>
      <w:r w:rsidRPr="00873497">
        <w:rPr>
          <w:rFonts w:ascii="Times New Roman" w:eastAsia="Times New Roman" w:hAnsi="Times New Roman" w:cs="Times New Roman"/>
          <w:sz w:val="24"/>
          <w:szCs w:val="24"/>
        </w:rPr>
        <w:t xml:space="preserve"> 2002) and (ii) observationally by showing a lack of relationship between the UV radiation field and the relative intensities of the bands (Chan et al., 2001). In the present paper, we assume that PAHs are properly identified in the interstellar medium and thus that their size can be compared with the meteoritic aromatic moieties studied in this work.</w:t>
      </w:r>
    </w:p>
    <w:p w:rsidR="00873497" w:rsidRPr="00873497" w:rsidRDefault="00873497" w:rsidP="00873497">
      <w:pPr>
        <w:spacing w:before="100" w:beforeAutospacing="1" w:after="100" w:afterAutospacing="1" w:line="240" w:lineRule="auto"/>
        <w:rPr>
          <w:rFonts w:ascii="Times New Roman" w:eastAsia="Times New Roman" w:hAnsi="Times New Roman" w:cs="Times New Roman"/>
          <w:sz w:val="24"/>
          <w:szCs w:val="24"/>
        </w:rPr>
      </w:pPr>
      <w:r w:rsidRPr="00873497">
        <w:rPr>
          <w:rFonts w:ascii="Times New Roman" w:eastAsia="Times New Roman" w:hAnsi="Times New Roman" w:cs="Times New Roman"/>
          <w:sz w:val="24"/>
          <w:szCs w:val="24"/>
        </w:rPr>
        <w:t>Aromatic moieties have also been reported in interplanetary dust particles (IDPs) (</w:t>
      </w:r>
      <w:proofErr w:type="spellStart"/>
      <w:r w:rsidRPr="00873497">
        <w:rPr>
          <w:rFonts w:ascii="Times New Roman" w:eastAsia="Times New Roman" w:hAnsi="Times New Roman" w:cs="Times New Roman"/>
          <w:sz w:val="24"/>
          <w:szCs w:val="24"/>
        </w:rPr>
        <w:t>Allamandola</w:t>
      </w:r>
      <w:proofErr w:type="spellEnd"/>
      <w:r w:rsidRPr="00873497">
        <w:rPr>
          <w:rFonts w:ascii="Times New Roman" w:eastAsia="Times New Roman" w:hAnsi="Times New Roman" w:cs="Times New Roman"/>
          <w:sz w:val="24"/>
          <w:szCs w:val="24"/>
        </w:rPr>
        <w:t xml:space="preserve"> et al 1987, </w:t>
      </w:r>
      <w:proofErr w:type="spellStart"/>
      <w:r w:rsidRPr="00873497">
        <w:rPr>
          <w:rFonts w:ascii="Times New Roman" w:eastAsia="Times New Roman" w:hAnsi="Times New Roman" w:cs="Times New Roman"/>
          <w:sz w:val="24"/>
          <w:szCs w:val="24"/>
        </w:rPr>
        <w:t>Clemett</w:t>
      </w:r>
      <w:proofErr w:type="spellEnd"/>
      <w:r w:rsidRPr="00873497">
        <w:rPr>
          <w:rFonts w:ascii="Times New Roman" w:eastAsia="Times New Roman" w:hAnsi="Times New Roman" w:cs="Times New Roman"/>
          <w:sz w:val="24"/>
          <w:szCs w:val="24"/>
        </w:rPr>
        <w:t xml:space="preserve"> et al 1993). In meteorites, the bulk of the polyaromatic structures occur as moieties linked together in the macromolecular IOM and a minor fraction occurs as free molecules that contribute to the soluble fraction. Based on this generally admitted widespread occurrence in the universe, polyaromatic structures may act as a link between the interstellar medium and the solar system (</w:t>
      </w:r>
      <w:proofErr w:type="spellStart"/>
      <w:r w:rsidRPr="00873497">
        <w:rPr>
          <w:rFonts w:ascii="Times New Roman" w:eastAsia="Times New Roman" w:hAnsi="Times New Roman" w:cs="Times New Roman"/>
          <w:sz w:val="24"/>
          <w:szCs w:val="24"/>
        </w:rPr>
        <w:t>Ehrenfreund</w:t>
      </w:r>
      <w:proofErr w:type="spellEnd"/>
      <w:r w:rsidRPr="00873497">
        <w:rPr>
          <w:rFonts w:ascii="Times New Roman" w:eastAsia="Times New Roman" w:hAnsi="Times New Roman" w:cs="Times New Roman"/>
          <w:sz w:val="24"/>
          <w:szCs w:val="24"/>
        </w:rPr>
        <w:t xml:space="preserve"> et al 1992, Sandford et al 2001). The occurrence of such a link can be tested by determining the size of the aromatic moieties in the IOM of the meteorites and comparing it with that assessed for the PAHs in the interstellar medium (</w:t>
      </w:r>
      <w:proofErr w:type="spellStart"/>
      <w:r w:rsidRPr="00873497">
        <w:rPr>
          <w:rFonts w:ascii="Times New Roman" w:eastAsia="Times New Roman" w:hAnsi="Times New Roman" w:cs="Times New Roman"/>
          <w:sz w:val="24"/>
          <w:szCs w:val="24"/>
        </w:rPr>
        <w:t>Geballe</w:t>
      </w:r>
      <w:proofErr w:type="spellEnd"/>
      <w:r w:rsidRPr="00873497">
        <w:rPr>
          <w:rFonts w:ascii="Times New Roman" w:eastAsia="Times New Roman" w:hAnsi="Times New Roman" w:cs="Times New Roman"/>
          <w:sz w:val="24"/>
          <w:szCs w:val="24"/>
        </w:rPr>
        <w:t xml:space="preserve"> et al., 1994) or solid grains (Galvez et al., 2002).</w:t>
      </w:r>
    </w:p>
    <w:p w:rsidR="00873497" w:rsidRPr="00873497" w:rsidRDefault="00873497" w:rsidP="00873497">
      <w:pPr>
        <w:spacing w:before="100" w:beforeAutospacing="1" w:after="100" w:afterAutospacing="1" w:line="240" w:lineRule="auto"/>
        <w:rPr>
          <w:rFonts w:ascii="Times New Roman" w:eastAsia="Times New Roman" w:hAnsi="Times New Roman" w:cs="Times New Roman"/>
          <w:sz w:val="24"/>
          <w:szCs w:val="24"/>
        </w:rPr>
      </w:pPr>
      <w:r w:rsidRPr="00873497">
        <w:rPr>
          <w:rFonts w:ascii="Times New Roman" w:eastAsia="Times New Roman" w:hAnsi="Times New Roman" w:cs="Times New Roman"/>
          <w:sz w:val="24"/>
          <w:szCs w:val="24"/>
        </w:rPr>
        <w:t>Direct determination of the size of the aromatic units in the macromolecular IOM of meteorites can now be achieved thanks to high resolution transmission electron microscopy (HRTEM). This technique is based on the interference between the directly transmitted electron beam and the 002 beams diffracted by the polyaromatic units (002 lattice fringe mode). Moreover, single polyaromatic structures can be imaged by HRTEM thanks to diffusion contrast. The fringes so-obtained afford direct imaging of the profile of the polyaromatic layers, either isolated or stacked in domains. Thanks to the recent development of image analysis processing, the main structural parameters of these aromatic units can be determined (</w:t>
      </w:r>
      <w:proofErr w:type="spellStart"/>
      <w:r w:rsidRPr="00873497">
        <w:rPr>
          <w:rFonts w:ascii="Times New Roman" w:eastAsia="Times New Roman" w:hAnsi="Times New Roman" w:cs="Times New Roman"/>
          <w:sz w:val="24"/>
          <w:szCs w:val="24"/>
        </w:rPr>
        <w:t>Rouzaud</w:t>
      </w:r>
      <w:proofErr w:type="spellEnd"/>
      <w:r w:rsidRPr="00873497">
        <w:rPr>
          <w:rFonts w:ascii="Times New Roman" w:eastAsia="Times New Roman" w:hAnsi="Times New Roman" w:cs="Times New Roman"/>
          <w:sz w:val="24"/>
          <w:szCs w:val="24"/>
        </w:rPr>
        <w:t xml:space="preserve"> et al 1999, Shim et al 2000, Galvez et al 2002, </w:t>
      </w:r>
      <w:proofErr w:type="spellStart"/>
      <w:r w:rsidRPr="00873497">
        <w:rPr>
          <w:rFonts w:ascii="Times New Roman" w:eastAsia="Times New Roman" w:hAnsi="Times New Roman" w:cs="Times New Roman"/>
          <w:sz w:val="24"/>
          <w:szCs w:val="24"/>
        </w:rPr>
        <w:t>Rouzaud</w:t>
      </w:r>
      <w:proofErr w:type="spellEnd"/>
      <w:r w:rsidRPr="00873497">
        <w:rPr>
          <w:rFonts w:ascii="Times New Roman" w:eastAsia="Times New Roman" w:hAnsi="Times New Roman" w:cs="Times New Roman"/>
          <w:sz w:val="24"/>
          <w:szCs w:val="24"/>
        </w:rPr>
        <w:t xml:space="preserve"> and </w:t>
      </w:r>
      <w:proofErr w:type="spellStart"/>
      <w:r w:rsidRPr="00873497">
        <w:rPr>
          <w:rFonts w:ascii="Times New Roman" w:eastAsia="Times New Roman" w:hAnsi="Times New Roman" w:cs="Times New Roman"/>
          <w:sz w:val="24"/>
          <w:szCs w:val="24"/>
        </w:rPr>
        <w:t>Clinard</w:t>
      </w:r>
      <w:proofErr w:type="spellEnd"/>
      <w:r w:rsidRPr="00873497">
        <w:rPr>
          <w:rFonts w:ascii="Times New Roman" w:eastAsia="Times New Roman" w:hAnsi="Times New Roman" w:cs="Times New Roman"/>
          <w:sz w:val="24"/>
          <w:szCs w:val="24"/>
        </w:rPr>
        <w:t xml:space="preserve"> 2002). HRTEM has revealed itself as a powerful technique for the direct observation of the polyaromatic skeleton of chars, coals and </w:t>
      </w:r>
      <w:proofErr w:type="spellStart"/>
      <w:r w:rsidRPr="00873497">
        <w:rPr>
          <w:rFonts w:ascii="Times New Roman" w:eastAsia="Times New Roman" w:hAnsi="Times New Roman" w:cs="Times New Roman"/>
          <w:sz w:val="24"/>
          <w:szCs w:val="24"/>
        </w:rPr>
        <w:t>soots</w:t>
      </w:r>
      <w:proofErr w:type="spellEnd"/>
      <w:r w:rsidRPr="00873497">
        <w:rPr>
          <w:rFonts w:ascii="Times New Roman" w:eastAsia="Times New Roman" w:hAnsi="Times New Roman" w:cs="Times New Roman"/>
          <w:sz w:val="24"/>
          <w:szCs w:val="24"/>
        </w:rPr>
        <w:t xml:space="preserve"> (</w:t>
      </w:r>
      <w:proofErr w:type="spellStart"/>
      <w:r w:rsidRPr="00873497">
        <w:rPr>
          <w:rFonts w:ascii="Times New Roman" w:eastAsia="Times New Roman" w:hAnsi="Times New Roman" w:cs="Times New Roman"/>
          <w:sz w:val="24"/>
          <w:szCs w:val="24"/>
        </w:rPr>
        <w:t>Boulmier</w:t>
      </w:r>
      <w:proofErr w:type="spellEnd"/>
      <w:r w:rsidRPr="00873497">
        <w:rPr>
          <w:rFonts w:ascii="Times New Roman" w:eastAsia="Times New Roman" w:hAnsi="Times New Roman" w:cs="Times New Roman"/>
          <w:sz w:val="24"/>
          <w:szCs w:val="24"/>
        </w:rPr>
        <w:t xml:space="preserve"> et al 1982, </w:t>
      </w:r>
      <w:proofErr w:type="spellStart"/>
      <w:r w:rsidRPr="00873497">
        <w:rPr>
          <w:rFonts w:ascii="Times New Roman" w:eastAsia="Times New Roman" w:hAnsi="Times New Roman" w:cs="Times New Roman"/>
          <w:sz w:val="24"/>
          <w:szCs w:val="24"/>
        </w:rPr>
        <w:t>Rouzaud</w:t>
      </w:r>
      <w:proofErr w:type="spellEnd"/>
      <w:r w:rsidRPr="00873497">
        <w:rPr>
          <w:rFonts w:ascii="Times New Roman" w:eastAsia="Times New Roman" w:hAnsi="Times New Roman" w:cs="Times New Roman"/>
          <w:sz w:val="24"/>
          <w:szCs w:val="24"/>
        </w:rPr>
        <w:t xml:space="preserve"> 1990, </w:t>
      </w:r>
      <w:proofErr w:type="spellStart"/>
      <w:r w:rsidRPr="00873497">
        <w:rPr>
          <w:rFonts w:ascii="Times New Roman" w:eastAsia="Times New Roman" w:hAnsi="Times New Roman" w:cs="Times New Roman"/>
          <w:sz w:val="24"/>
          <w:szCs w:val="24"/>
        </w:rPr>
        <w:t>Rouzaud</w:t>
      </w:r>
      <w:proofErr w:type="spellEnd"/>
      <w:r w:rsidRPr="00873497">
        <w:rPr>
          <w:rFonts w:ascii="Times New Roman" w:eastAsia="Times New Roman" w:hAnsi="Times New Roman" w:cs="Times New Roman"/>
          <w:sz w:val="24"/>
          <w:szCs w:val="24"/>
        </w:rPr>
        <w:t xml:space="preserve"> and Oberlin 1989, </w:t>
      </w:r>
      <w:proofErr w:type="spellStart"/>
      <w:r w:rsidRPr="00873497">
        <w:rPr>
          <w:rFonts w:ascii="Times New Roman" w:eastAsia="Times New Roman" w:hAnsi="Times New Roman" w:cs="Times New Roman"/>
          <w:sz w:val="24"/>
          <w:szCs w:val="24"/>
        </w:rPr>
        <w:t>Rouzaud</w:t>
      </w:r>
      <w:proofErr w:type="spellEnd"/>
      <w:r w:rsidRPr="00873497">
        <w:rPr>
          <w:rFonts w:ascii="Times New Roman" w:eastAsia="Times New Roman" w:hAnsi="Times New Roman" w:cs="Times New Roman"/>
          <w:sz w:val="24"/>
          <w:szCs w:val="24"/>
        </w:rPr>
        <w:t xml:space="preserve"> and Oberlin 1990, </w:t>
      </w:r>
      <w:proofErr w:type="spellStart"/>
      <w:r w:rsidRPr="00873497">
        <w:rPr>
          <w:rFonts w:ascii="Times New Roman" w:eastAsia="Times New Roman" w:hAnsi="Times New Roman" w:cs="Times New Roman"/>
          <w:sz w:val="24"/>
          <w:szCs w:val="24"/>
        </w:rPr>
        <w:t>Gustaffson</w:t>
      </w:r>
      <w:proofErr w:type="spellEnd"/>
      <w:r w:rsidRPr="00873497">
        <w:rPr>
          <w:rFonts w:ascii="Times New Roman" w:eastAsia="Times New Roman" w:hAnsi="Times New Roman" w:cs="Times New Roman"/>
          <w:sz w:val="24"/>
          <w:szCs w:val="24"/>
        </w:rPr>
        <w:t xml:space="preserve"> et al 2001). This HRTEM method has been recently applied to carbon nanoparticles used as analogs of cosmic dust (</w:t>
      </w:r>
      <w:proofErr w:type="spellStart"/>
      <w:r w:rsidRPr="00873497">
        <w:rPr>
          <w:rFonts w:ascii="Times New Roman" w:eastAsia="Times New Roman" w:hAnsi="Times New Roman" w:cs="Times New Roman"/>
          <w:sz w:val="24"/>
          <w:szCs w:val="24"/>
        </w:rPr>
        <w:t>Herlin</w:t>
      </w:r>
      <w:proofErr w:type="spellEnd"/>
      <w:r w:rsidRPr="00873497">
        <w:rPr>
          <w:rFonts w:ascii="Times New Roman" w:eastAsia="Times New Roman" w:hAnsi="Times New Roman" w:cs="Times New Roman"/>
          <w:sz w:val="24"/>
          <w:szCs w:val="24"/>
        </w:rPr>
        <w:t xml:space="preserve"> et al 1998, </w:t>
      </w:r>
      <w:proofErr w:type="spellStart"/>
      <w:r w:rsidRPr="00873497">
        <w:rPr>
          <w:rFonts w:ascii="Times New Roman" w:eastAsia="Times New Roman" w:hAnsi="Times New Roman" w:cs="Times New Roman"/>
          <w:sz w:val="24"/>
          <w:szCs w:val="24"/>
        </w:rPr>
        <w:t>Rotundi</w:t>
      </w:r>
      <w:proofErr w:type="spellEnd"/>
      <w:r w:rsidRPr="00873497">
        <w:rPr>
          <w:rFonts w:ascii="Times New Roman" w:eastAsia="Times New Roman" w:hAnsi="Times New Roman" w:cs="Times New Roman"/>
          <w:sz w:val="24"/>
          <w:szCs w:val="24"/>
        </w:rPr>
        <w:t xml:space="preserve"> et al 1998, Reynaud et al 2001) and to chondritic IDPs (</w:t>
      </w:r>
      <w:proofErr w:type="spellStart"/>
      <w:r w:rsidRPr="00873497">
        <w:rPr>
          <w:rFonts w:ascii="Times New Roman" w:eastAsia="Times New Roman" w:hAnsi="Times New Roman" w:cs="Times New Roman"/>
          <w:sz w:val="24"/>
          <w:szCs w:val="24"/>
        </w:rPr>
        <w:t>Rietmeijer</w:t>
      </w:r>
      <w:proofErr w:type="spellEnd"/>
      <w:r w:rsidRPr="00873497">
        <w:rPr>
          <w:rFonts w:ascii="Times New Roman" w:eastAsia="Times New Roman" w:hAnsi="Times New Roman" w:cs="Times New Roman"/>
          <w:sz w:val="24"/>
          <w:szCs w:val="24"/>
        </w:rPr>
        <w:t xml:space="preserve"> and Mackinnon 1985, </w:t>
      </w:r>
      <w:proofErr w:type="spellStart"/>
      <w:r w:rsidRPr="00873497">
        <w:rPr>
          <w:rFonts w:ascii="Times New Roman" w:eastAsia="Times New Roman" w:hAnsi="Times New Roman" w:cs="Times New Roman"/>
          <w:sz w:val="24"/>
          <w:szCs w:val="24"/>
        </w:rPr>
        <w:t>Rietmeijer</w:t>
      </w:r>
      <w:proofErr w:type="spellEnd"/>
      <w:r w:rsidRPr="00873497">
        <w:rPr>
          <w:rFonts w:ascii="Times New Roman" w:eastAsia="Times New Roman" w:hAnsi="Times New Roman" w:cs="Times New Roman"/>
          <w:sz w:val="24"/>
          <w:szCs w:val="24"/>
        </w:rPr>
        <w:t xml:space="preserve"> and Mackinnon 1987, </w:t>
      </w:r>
      <w:proofErr w:type="spellStart"/>
      <w:r w:rsidRPr="00873497">
        <w:rPr>
          <w:rFonts w:ascii="Times New Roman" w:eastAsia="Times New Roman" w:hAnsi="Times New Roman" w:cs="Times New Roman"/>
          <w:sz w:val="24"/>
          <w:szCs w:val="24"/>
        </w:rPr>
        <w:t>Rietmeijer</w:t>
      </w:r>
      <w:proofErr w:type="spellEnd"/>
      <w:r w:rsidRPr="00873497">
        <w:rPr>
          <w:rFonts w:ascii="Times New Roman" w:eastAsia="Times New Roman" w:hAnsi="Times New Roman" w:cs="Times New Roman"/>
          <w:sz w:val="24"/>
          <w:szCs w:val="24"/>
        </w:rPr>
        <w:t xml:space="preserve"> 1992). Previous observations of the IOM isolated from the Allende meteorite (Lumpkin 1981, Smith and </w:t>
      </w:r>
      <w:proofErr w:type="spellStart"/>
      <w:r w:rsidRPr="00873497">
        <w:rPr>
          <w:rFonts w:ascii="Times New Roman" w:eastAsia="Times New Roman" w:hAnsi="Times New Roman" w:cs="Times New Roman"/>
          <w:sz w:val="24"/>
          <w:szCs w:val="24"/>
        </w:rPr>
        <w:t>Buseck</w:t>
      </w:r>
      <w:proofErr w:type="spellEnd"/>
      <w:r w:rsidRPr="00873497">
        <w:rPr>
          <w:rFonts w:ascii="Times New Roman" w:eastAsia="Times New Roman" w:hAnsi="Times New Roman" w:cs="Times New Roman"/>
          <w:sz w:val="24"/>
          <w:szCs w:val="24"/>
        </w:rPr>
        <w:t xml:space="preserve"> 1981a, Smith and </w:t>
      </w:r>
      <w:proofErr w:type="spellStart"/>
      <w:r w:rsidRPr="00873497">
        <w:rPr>
          <w:rFonts w:ascii="Times New Roman" w:eastAsia="Times New Roman" w:hAnsi="Times New Roman" w:cs="Times New Roman"/>
          <w:sz w:val="24"/>
          <w:szCs w:val="24"/>
        </w:rPr>
        <w:t>Buseck</w:t>
      </w:r>
      <w:proofErr w:type="spellEnd"/>
      <w:r w:rsidRPr="00873497">
        <w:rPr>
          <w:rFonts w:ascii="Times New Roman" w:eastAsia="Times New Roman" w:hAnsi="Times New Roman" w:cs="Times New Roman"/>
          <w:sz w:val="24"/>
          <w:szCs w:val="24"/>
        </w:rPr>
        <w:t xml:space="preserve"> 1981b, Brearley 1999) revealed the occurrence of fine-grained (&lt;0.1 mm) poorly organized carbon which occurs as isolated domains a few nanometers in length, made of more or less parallel polyaromatic layers. However, the Allende meteorite is known to have undergone a thermal stress that has been proposed to cause changes in the organization of aromatic structures. We have therefore focused our study on the organization and the size of the aromatic units in less metamorphosed samples, namely the </w:t>
      </w:r>
      <w:proofErr w:type="spellStart"/>
      <w:r w:rsidRPr="00873497">
        <w:rPr>
          <w:rFonts w:ascii="Times New Roman" w:eastAsia="Times New Roman" w:hAnsi="Times New Roman" w:cs="Times New Roman"/>
          <w:sz w:val="24"/>
          <w:szCs w:val="24"/>
        </w:rPr>
        <w:t>Orgueil</w:t>
      </w:r>
      <w:proofErr w:type="spellEnd"/>
      <w:r w:rsidRPr="00873497">
        <w:rPr>
          <w:rFonts w:ascii="Times New Roman" w:eastAsia="Times New Roman" w:hAnsi="Times New Roman" w:cs="Times New Roman"/>
          <w:sz w:val="24"/>
          <w:szCs w:val="24"/>
        </w:rPr>
        <w:t xml:space="preserve"> and Murchison meteorites.</w:t>
      </w:r>
    </w:p>
    <w:p w:rsidR="00873497" w:rsidRPr="00873497" w:rsidRDefault="00873497" w:rsidP="00873497">
      <w:pPr>
        <w:spacing w:before="100" w:beforeAutospacing="1" w:after="100" w:afterAutospacing="1" w:line="240" w:lineRule="auto"/>
        <w:outlineLvl w:val="1"/>
        <w:rPr>
          <w:rFonts w:ascii="Times New Roman" w:eastAsia="Times New Roman" w:hAnsi="Times New Roman" w:cs="Times New Roman"/>
          <w:b/>
          <w:bCs/>
          <w:sz w:val="36"/>
          <w:szCs w:val="36"/>
        </w:rPr>
      </w:pPr>
      <w:r w:rsidRPr="00873497">
        <w:rPr>
          <w:rFonts w:ascii="Times New Roman" w:eastAsia="Times New Roman" w:hAnsi="Times New Roman" w:cs="Times New Roman"/>
          <w:b/>
          <w:bCs/>
          <w:sz w:val="36"/>
          <w:szCs w:val="36"/>
        </w:rPr>
        <w:t>Section snippets</w:t>
      </w:r>
    </w:p>
    <w:p w:rsidR="00873497" w:rsidRPr="00873497" w:rsidRDefault="00873497" w:rsidP="00873497">
      <w:pPr>
        <w:spacing w:before="100" w:beforeAutospacing="1" w:after="100" w:afterAutospacing="1" w:line="240" w:lineRule="auto"/>
        <w:outlineLvl w:val="1"/>
        <w:rPr>
          <w:rFonts w:ascii="Times New Roman" w:eastAsia="Times New Roman" w:hAnsi="Times New Roman" w:cs="Times New Roman"/>
          <w:b/>
          <w:bCs/>
          <w:sz w:val="36"/>
          <w:szCs w:val="36"/>
        </w:rPr>
      </w:pPr>
      <w:r w:rsidRPr="00873497">
        <w:rPr>
          <w:rFonts w:ascii="Times New Roman" w:eastAsia="Times New Roman" w:hAnsi="Times New Roman" w:cs="Times New Roman"/>
          <w:b/>
          <w:bCs/>
          <w:sz w:val="36"/>
          <w:szCs w:val="36"/>
        </w:rPr>
        <w:t>Materials and methods</w:t>
      </w:r>
    </w:p>
    <w:p w:rsidR="00873497" w:rsidRPr="00873497" w:rsidRDefault="00873497" w:rsidP="00873497">
      <w:pPr>
        <w:spacing w:before="100" w:beforeAutospacing="1" w:after="100" w:afterAutospacing="1" w:line="240" w:lineRule="auto"/>
        <w:rPr>
          <w:rFonts w:ascii="Times New Roman" w:eastAsia="Times New Roman" w:hAnsi="Times New Roman" w:cs="Times New Roman"/>
          <w:sz w:val="24"/>
          <w:szCs w:val="24"/>
        </w:rPr>
      </w:pPr>
      <w:r w:rsidRPr="00873497">
        <w:rPr>
          <w:rFonts w:ascii="Times New Roman" w:eastAsia="Times New Roman" w:hAnsi="Times New Roman" w:cs="Times New Roman"/>
          <w:sz w:val="24"/>
          <w:szCs w:val="24"/>
        </w:rPr>
        <w:lastRenderedPageBreak/>
        <w:t>The IOM was isolated from the meteorite samples (</w:t>
      </w:r>
      <w:proofErr w:type="spellStart"/>
      <w:r w:rsidRPr="00873497">
        <w:rPr>
          <w:rFonts w:ascii="Times New Roman" w:eastAsia="Times New Roman" w:hAnsi="Times New Roman" w:cs="Times New Roman"/>
          <w:sz w:val="24"/>
          <w:szCs w:val="24"/>
        </w:rPr>
        <w:t>Orgueil</w:t>
      </w:r>
      <w:proofErr w:type="spellEnd"/>
      <w:r w:rsidRPr="00873497">
        <w:rPr>
          <w:rFonts w:ascii="Times New Roman" w:eastAsia="Times New Roman" w:hAnsi="Times New Roman" w:cs="Times New Roman"/>
          <w:sz w:val="24"/>
          <w:szCs w:val="24"/>
        </w:rPr>
        <w:t xml:space="preserve"> from the Museum National </w:t>
      </w:r>
      <w:proofErr w:type="spellStart"/>
      <w:r w:rsidRPr="00873497">
        <w:rPr>
          <w:rFonts w:ascii="Times New Roman" w:eastAsia="Times New Roman" w:hAnsi="Times New Roman" w:cs="Times New Roman"/>
          <w:sz w:val="24"/>
          <w:szCs w:val="24"/>
        </w:rPr>
        <w:t>d’Histoire</w:t>
      </w:r>
      <w:proofErr w:type="spellEnd"/>
      <w:r w:rsidRPr="00873497">
        <w:rPr>
          <w:rFonts w:ascii="Times New Roman" w:eastAsia="Times New Roman" w:hAnsi="Times New Roman" w:cs="Times New Roman"/>
          <w:sz w:val="24"/>
          <w:szCs w:val="24"/>
        </w:rPr>
        <w:t xml:space="preserve"> Naturelle, Paris, France and Murchison from the </w:t>
      </w:r>
      <w:proofErr w:type="spellStart"/>
      <w:r w:rsidRPr="00873497">
        <w:rPr>
          <w:rFonts w:ascii="Times New Roman" w:eastAsia="Times New Roman" w:hAnsi="Times New Roman" w:cs="Times New Roman"/>
          <w:sz w:val="24"/>
          <w:szCs w:val="24"/>
        </w:rPr>
        <w:t>Smithonian</w:t>
      </w:r>
      <w:proofErr w:type="spellEnd"/>
      <w:r w:rsidRPr="00873497">
        <w:rPr>
          <w:rFonts w:ascii="Times New Roman" w:eastAsia="Times New Roman" w:hAnsi="Times New Roman" w:cs="Times New Roman"/>
          <w:sz w:val="24"/>
          <w:szCs w:val="24"/>
        </w:rPr>
        <w:t xml:space="preserve"> Institution, Washington DC, USA) as described in </w:t>
      </w:r>
      <w:proofErr w:type="spellStart"/>
      <w:r w:rsidRPr="00873497">
        <w:rPr>
          <w:rFonts w:ascii="Times New Roman" w:eastAsia="Times New Roman" w:hAnsi="Times New Roman" w:cs="Times New Roman"/>
          <w:sz w:val="24"/>
          <w:szCs w:val="24"/>
        </w:rPr>
        <w:t>Gardinier</w:t>
      </w:r>
      <w:proofErr w:type="spellEnd"/>
      <w:r w:rsidRPr="00873497">
        <w:rPr>
          <w:rFonts w:ascii="Times New Roman" w:eastAsia="Times New Roman" w:hAnsi="Times New Roman" w:cs="Times New Roman"/>
          <w:sz w:val="24"/>
          <w:szCs w:val="24"/>
        </w:rPr>
        <w:t xml:space="preserve"> et al. (2000). In short, the ground meteorites were thoroughly extracted with water and organic solvents, successively hydrolyzed with KOH and HCl and finally submitted to an HF/HCl treatment to remove the bulk of the mineral fraction.</w:t>
      </w:r>
    </w:p>
    <w:p w:rsidR="00873497" w:rsidRPr="00873497" w:rsidRDefault="00873497" w:rsidP="00873497">
      <w:pPr>
        <w:spacing w:before="100" w:beforeAutospacing="1" w:after="100" w:afterAutospacing="1" w:line="240" w:lineRule="auto"/>
        <w:rPr>
          <w:rFonts w:ascii="Times New Roman" w:eastAsia="Times New Roman" w:hAnsi="Times New Roman" w:cs="Times New Roman"/>
          <w:sz w:val="24"/>
          <w:szCs w:val="24"/>
        </w:rPr>
      </w:pPr>
      <w:r w:rsidRPr="00873497">
        <w:rPr>
          <w:rFonts w:ascii="Times New Roman" w:eastAsia="Times New Roman" w:hAnsi="Times New Roman" w:cs="Times New Roman"/>
          <w:sz w:val="24"/>
          <w:szCs w:val="24"/>
        </w:rPr>
        <w:t>The multiscale organization (structure and</w:t>
      </w:r>
    </w:p>
    <w:p w:rsidR="00873497" w:rsidRPr="00873497" w:rsidRDefault="00873497" w:rsidP="00873497">
      <w:pPr>
        <w:spacing w:before="100" w:beforeAutospacing="1" w:after="100" w:afterAutospacing="1" w:line="240" w:lineRule="auto"/>
        <w:outlineLvl w:val="1"/>
        <w:rPr>
          <w:rFonts w:ascii="Times New Roman" w:eastAsia="Times New Roman" w:hAnsi="Times New Roman" w:cs="Times New Roman"/>
          <w:b/>
          <w:bCs/>
          <w:sz w:val="36"/>
          <w:szCs w:val="36"/>
        </w:rPr>
      </w:pPr>
      <w:r w:rsidRPr="00873497">
        <w:rPr>
          <w:rFonts w:ascii="Times New Roman" w:eastAsia="Times New Roman" w:hAnsi="Times New Roman" w:cs="Times New Roman"/>
          <w:b/>
          <w:bCs/>
          <w:sz w:val="36"/>
          <w:szCs w:val="36"/>
        </w:rPr>
        <w:t>Results and discussion</w:t>
      </w:r>
    </w:p>
    <w:p w:rsidR="00873497" w:rsidRPr="00873497" w:rsidRDefault="00873497" w:rsidP="00873497">
      <w:pPr>
        <w:spacing w:before="100" w:beforeAutospacing="1" w:after="100" w:afterAutospacing="1" w:line="240" w:lineRule="auto"/>
        <w:rPr>
          <w:rFonts w:ascii="Times New Roman" w:eastAsia="Times New Roman" w:hAnsi="Times New Roman" w:cs="Times New Roman"/>
          <w:sz w:val="24"/>
          <w:szCs w:val="24"/>
        </w:rPr>
      </w:pPr>
      <w:r w:rsidRPr="00873497">
        <w:rPr>
          <w:rFonts w:ascii="Times New Roman" w:eastAsia="Times New Roman" w:hAnsi="Times New Roman" w:cs="Times New Roman"/>
          <w:sz w:val="24"/>
          <w:szCs w:val="24"/>
        </w:rPr>
        <w:t xml:space="preserve">At first glance, HRTEM observations of the IOM from the </w:t>
      </w:r>
      <w:proofErr w:type="spellStart"/>
      <w:r w:rsidRPr="00873497">
        <w:rPr>
          <w:rFonts w:ascii="Times New Roman" w:eastAsia="Times New Roman" w:hAnsi="Times New Roman" w:cs="Times New Roman"/>
          <w:sz w:val="24"/>
          <w:szCs w:val="24"/>
        </w:rPr>
        <w:t>Orgueil</w:t>
      </w:r>
      <w:proofErr w:type="spellEnd"/>
      <w:r w:rsidRPr="00873497">
        <w:rPr>
          <w:rFonts w:ascii="Times New Roman" w:eastAsia="Times New Roman" w:hAnsi="Times New Roman" w:cs="Times New Roman"/>
          <w:sz w:val="24"/>
          <w:szCs w:val="24"/>
        </w:rPr>
        <w:t xml:space="preserve"> and Murchison meteorites point to a weak organization, far from graphitized carbons. In both samples, the aromatic layers are small and not oriented according to a preferential direction (Fig. 2). Moreover, as far as the </w:t>
      </w:r>
      <w:proofErr w:type="spellStart"/>
      <w:r w:rsidRPr="00873497">
        <w:rPr>
          <w:rFonts w:ascii="Times New Roman" w:eastAsia="Times New Roman" w:hAnsi="Times New Roman" w:cs="Times New Roman"/>
          <w:sz w:val="24"/>
          <w:szCs w:val="24"/>
        </w:rPr>
        <w:t>microtexture</w:t>
      </w:r>
      <w:proofErr w:type="spellEnd"/>
      <w:r w:rsidRPr="00873497">
        <w:rPr>
          <w:rFonts w:ascii="Times New Roman" w:eastAsia="Times New Roman" w:hAnsi="Times New Roman" w:cs="Times New Roman"/>
          <w:sz w:val="24"/>
          <w:szCs w:val="24"/>
        </w:rPr>
        <w:t>, i.e., the relative spatial organization of the layers, is concerned, the misorientation between the layers and/or the domains is responsible for the occurrence of large interlayer spacings.</w:t>
      </w:r>
    </w:p>
    <w:p w:rsidR="00873497" w:rsidRPr="00873497" w:rsidRDefault="00873497" w:rsidP="00873497">
      <w:pPr>
        <w:spacing w:before="100" w:beforeAutospacing="1" w:after="100" w:afterAutospacing="1" w:line="240" w:lineRule="auto"/>
        <w:rPr>
          <w:rFonts w:ascii="Times New Roman" w:eastAsia="Times New Roman" w:hAnsi="Times New Roman" w:cs="Times New Roman"/>
          <w:sz w:val="24"/>
          <w:szCs w:val="24"/>
        </w:rPr>
      </w:pPr>
      <w:r w:rsidRPr="00873497">
        <w:rPr>
          <w:rFonts w:ascii="Times New Roman" w:eastAsia="Times New Roman" w:hAnsi="Times New Roman" w:cs="Times New Roman"/>
          <w:sz w:val="24"/>
          <w:szCs w:val="24"/>
        </w:rPr>
        <w:t>The</w:t>
      </w:r>
    </w:p>
    <w:p w:rsidR="00873497" w:rsidRPr="00873497" w:rsidRDefault="00873497" w:rsidP="00873497">
      <w:pPr>
        <w:spacing w:before="100" w:beforeAutospacing="1" w:after="100" w:afterAutospacing="1" w:line="240" w:lineRule="auto"/>
        <w:outlineLvl w:val="1"/>
        <w:rPr>
          <w:rFonts w:ascii="Times New Roman" w:eastAsia="Times New Roman" w:hAnsi="Times New Roman" w:cs="Times New Roman"/>
          <w:b/>
          <w:bCs/>
          <w:sz w:val="36"/>
          <w:szCs w:val="36"/>
        </w:rPr>
      </w:pPr>
      <w:r w:rsidRPr="00873497">
        <w:rPr>
          <w:rFonts w:ascii="Times New Roman" w:eastAsia="Times New Roman" w:hAnsi="Times New Roman" w:cs="Times New Roman"/>
          <w:b/>
          <w:bCs/>
          <w:sz w:val="36"/>
          <w:szCs w:val="36"/>
        </w:rPr>
        <w:t>Implications for organic cosmochemistry</w:t>
      </w:r>
    </w:p>
    <w:p w:rsidR="00873497" w:rsidRPr="00873497" w:rsidRDefault="00873497" w:rsidP="00873497">
      <w:pPr>
        <w:spacing w:before="100" w:beforeAutospacing="1" w:after="100" w:afterAutospacing="1" w:line="240" w:lineRule="auto"/>
        <w:rPr>
          <w:rFonts w:ascii="Times New Roman" w:eastAsia="Times New Roman" w:hAnsi="Times New Roman" w:cs="Times New Roman"/>
          <w:sz w:val="24"/>
          <w:szCs w:val="24"/>
        </w:rPr>
      </w:pPr>
      <w:r w:rsidRPr="00873497">
        <w:rPr>
          <w:rFonts w:ascii="Times New Roman" w:eastAsia="Times New Roman" w:hAnsi="Times New Roman" w:cs="Times New Roman"/>
          <w:sz w:val="24"/>
          <w:szCs w:val="24"/>
        </w:rPr>
        <w:t xml:space="preserve">As mentioned above, due to their ubiquity, the polyaromatic units may represent a clue to establish a link between OM from meteorites and the pristine one observed spectroscopically in the interstellar medium. In absorption, towards the Galactic Center and thus over a very long optical path, similarities in the infrared spectra of diffuse medium material have been found with the spectra of IOM isolated from </w:t>
      </w:r>
      <w:proofErr w:type="spellStart"/>
      <w:r w:rsidRPr="00873497">
        <w:rPr>
          <w:rFonts w:ascii="Times New Roman" w:eastAsia="Times New Roman" w:hAnsi="Times New Roman" w:cs="Times New Roman"/>
          <w:sz w:val="24"/>
          <w:szCs w:val="24"/>
        </w:rPr>
        <w:t>Orgueil</w:t>
      </w:r>
      <w:proofErr w:type="spellEnd"/>
      <w:r w:rsidRPr="00873497">
        <w:rPr>
          <w:rFonts w:ascii="Times New Roman" w:eastAsia="Times New Roman" w:hAnsi="Times New Roman" w:cs="Times New Roman"/>
          <w:sz w:val="24"/>
          <w:szCs w:val="24"/>
        </w:rPr>
        <w:t xml:space="preserve"> </w:t>
      </w:r>
      <w:proofErr w:type="spellStart"/>
      <w:r w:rsidRPr="00873497">
        <w:rPr>
          <w:rFonts w:ascii="Times New Roman" w:eastAsia="Times New Roman" w:hAnsi="Times New Roman" w:cs="Times New Roman"/>
          <w:sz w:val="24"/>
          <w:szCs w:val="24"/>
        </w:rPr>
        <w:t>Wdowiak</w:t>
      </w:r>
      <w:proofErr w:type="spellEnd"/>
      <w:r w:rsidRPr="00873497">
        <w:rPr>
          <w:rFonts w:ascii="Times New Roman" w:eastAsia="Times New Roman" w:hAnsi="Times New Roman" w:cs="Times New Roman"/>
          <w:sz w:val="24"/>
          <w:szCs w:val="24"/>
        </w:rPr>
        <w:t xml:space="preserve"> et al., 1988; (</w:t>
      </w:r>
      <w:proofErr w:type="spellStart"/>
      <w:r w:rsidRPr="00873497">
        <w:rPr>
          <w:rFonts w:ascii="Times New Roman" w:eastAsia="Times New Roman" w:hAnsi="Times New Roman" w:cs="Times New Roman"/>
          <w:sz w:val="24"/>
          <w:szCs w:val="24"/>
        </w:rPr>
        <w:t>Ehrenfreund</w:t>
      </w:r>
      <w:proofErr w:type="spellEnd"/>
      <w:r w:rsidRPr="00873497">
        <w:rPr>
          <w:rFonts w:ascii="Times New Roman" w:eastAsia="Times New Roman" w:hAnsi="Times New Roman" w:cs="Times New Roman"/>
          <w:sz w:val="24"/>
          <w:szCs w:val="24"/>
        </w:rPr>
        <w:t xml:space="preserve"> et al., 1992). This was also suggested by </w:t>
      </w:r>
    </w:p>
    <w:p w:rsidR="00873497" w:rsidRPr="00873497" w:rsidRDefault="00873497" w:rsidP="00873497">
      <w:pPr>
        <w:spacing w:before="100" w:beforeAutospacing="1" w:after="100" w:afterAutospacing="1" w:line="240" w:lineRule="auto"/>
        <w:outlineLvl w:val="1"/>
        <w:rPr>
          <w:rFonts w:ascii="Times New Roman" w:eastAsia="Times New Roman" w:hAnsi="Times New Roman" w:cs="Times New Roman"/>
          <w:b/>
          <w:bCs/>
          <w:sz w:val="36"/>
          <w:szCs w:val="36"/>
        </w:rPr>
      </w:pPr>
      <w:r w:rsidRPr="00873497">
        <w:rPr>
          <w:rFonts w:ascii="Times New Roman" w:eastAsia="Times New Roman" w:hAnsi="Times New Roman" w:cs="Times New Roman"/>
          <w:b/>
          <w:bCs/>
          <w:sz w:val="36"/>
          <w:szCs w:val="36"/>
        </w:rPr>
        <w:t>Acknowledgment</w:t>
      </w:r>
    </w:p>
    <w:p w:rsidR="00873497" w:rsidRPr="00873497" w:rsidRDefault="00873497" w:rsidP="00873497">
      <w:pPr>
        <w:spacing w:before="100" w:beforeAutospacing="1" w:after="100" w:afterAutospacing="1" w:line="240" w:lineRule="auto"/>
        <w:rPr>
          <w:rFonts w:ascii="Times New Roman" w:eastAsia="Times New Roman" w:hAnsi="Times New Roman" w:cs="Times New Roman"/>
          <w:sz w:val="24"/>
          <w:szCs w:val="24"/>
        </w:rPr>
      </w:pPr>
      <w:r w:rsidRPr="00873497">
        <w:rPr>
          <w:rFonts w:ascii="Times New Roman" w:eastAsia="Times New Roman" w:hAnsi="Times New Roman" w:cs="Times New Roman"/>
          <w:sz w:val="24"/>
          <w:szCs w:val="24"/>
        </w:rPr>
        <w:t xml:space="preserve">Louis </w:t>
      </w:r>
      <w:proofErr w:type="spellStart"/>
      <w:r w:rsidRPr="00873497">
        <w:rPr>
          <w:rFonts w:ascii="Times New Roman" w:eastAsia="Times New Roman" w:hAnsi="Times New Roman" w:cs="Times New Roman"/>
          <w:sz w:val="24"/>
          <w:szCs w:val="24"/>
        </w:rPr>
        <w:t>d’Hendecourt</w:t>
      </w:r>
      <w:proofErr w:type="spellEnd"/>
      <w:r w:rsidRPr="00873497">
        <w:rPr>
          <w:rFonts w:ascii="Times New Roman" w:eastAsia="Times New Roman" w:hAnsi="Times New Roman" w:cs="Times New Roman"/>
          <w:sz w:val="24"/>
          <w:szCs w:val="24"/>
        </w:rPr>
        <w:t xml:space="preserve"> (IAS, Orsay, France) is gratefully acknowledged for fruitful discussions.</w:t>
      </w:r>
    </w:p>
    <w:p w:rsidR="006C5F35" w:rsidRDefault="006C5F35"/>
    <w:sectPr w:rsidR="006C5F35">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3497"/>
    <w:rsid w:val="006C5F35"/>
    <w:rsid w:val="0087349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F9A256"/>
  <w15:chartTrackingRefBased/>
  <w15:docId w15:val="{E2FF3689-1E33-4778-9F7B-D255D3BC3B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67065938">
      <w:bodyDiv w:val="1"/>
      <w:marLeft w:val="0"/>
      <w:marRight w:val="0"/>
      <w:marTop w:val="0"/>
      <w:marBottom w:val="0"/>
      <w:divBdr>
        <w:top w:val="none" w:sz="0" w:space="0" w:color="auto"/>
        <w:left w:val="none" w:sz="0" w:space="0" w:color="auto"/>
        <w:bottom w:val="none" w:sz="0" w:space="0" w:color="auto"/>
        <w:right w:val="none" w:sz="0" w:space="0" w:color="auto"/>
      </w:divBdr>
      <w:divsChild>
        <w:div w:id="836072248">
          <w:marLeft w:val="0"/>
          <w:marRight w:val="0"/>
          <w:marTop w:val="0"/>
          <w:marBottom w:val="0"/>
          <w:divBdr>
            <w:top w:val="none" w:sz="0" w:space="0" w:color="auto"/>
            <w:left w:val="none" w:sz="0" w:space="0" w:color="auto"/>
            <w:bottom w:val="none" w:sz="0" w:space="0" w:color="auto"/>
            <w:right w:val="none" w:sz="0" w:space="0" w:color="auto"/>
          </w:divBdr>
          <w:divsChild>
            <w:div w:id="1406756252">
              <w:marLeft w:val="0"/>
              <w:marRight w:val="0"/>
              <w:marTop w:val="0"/>
              <w:marBottom w:val="0"/>
              <w:divBdr>
                <w:top w:val="none" w:sz="0" w:space="0" w:color="auto"/>
                <w:left w:val="none" w:sz="0" w:space="0" w:color="auto"/>
                <w:bottom w:val="none" w:sz="0" w:space="0" w:color="auto"/>
                <w:right w:val="none" w:sz="0" w:space="0" w:color="auto"/>
              </w:divBdr>
              <w:divsChild>
                <w:div w:id="462163694">
                  <w:marLeft w:val="0"/>
                  <w:marRight w:val="0"/>
                  <w:marTop w:val="0"/>
                  <w:marBottom w:val="0"/>
                  <w:divBdr>
                    <w:top w:val="none" w:sz="0" w:space="0" w:color="auto"/>
                    <w:left w:val="none" w:sz="0" w:space="0" w:color="auto"/>
                    <w:bottom w:val="none" w:sz="0" w:space="0" w:color="auto"/>
                    <w:right w:val="none" w:sz="0" w:space="0" w:color="auto"/>
                  </w:divBdr>
                  <w:divsChild>
                    <w:div w:id="1577276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9351033">
          <w:marLeft w:val="0"/>
          <w:marRight w:val="0"/>
          <w:marTop w:val="0"/>
          <w:marBottom w:val="0"/>
          <w:divBdr>
            <w:top w:val="none" w:sz="0" w:space="0" w:color="auto"/>
            <w:left w:val="none" w:sz="0" w:space="0" w:color="auto"/>
            <w:bottom w:val="none" w:sz="0" w:space="0" w:color="auto"/>
            <w:right w:val="none" w:sz="0" w:space="0" w:color="auto"/>
          </w:divBdr>
          <w:divsChild>
            <w:div w:id="344871440">
              <w:marLeft w:val="0"/>
              <w:marRight w:val="0"/>
              <w:marTop w:val="0"/>
              <w:marBottom w:val="0"/>
              <w:divBdr>
                <w:top w:val="none" w:sz="0" w:space="0" w:color="auto"/>
                <w:left w:val="none" w:sz="0" w:space="0" w:color="auto"/>
                <w:bottom w:val="none" w:sz="0" w:space="0" w:color="auto"/>
                <w:right w:val="none" w:sz="0" w:space="0" w:color="auto"/>
              </w:divBdr>
              <w:divsChild>
                <w:div w:id="1158576474">
                  <w:marLeft w:val="0"/>
                  <w:marRight w:val="0"/>
                  <w:marTop w:val="0"/>
                  <w:marBottom w:val="0"/>
                  <w:divBdr>
                    <w:top w:val="none" w:sz="0" w:space="0" w:color="auto"/>
                    <w:left w:val="none" w:sz="0" w:space="0" w:color="auto"/>
                    <w:bottom w:val="none" w:sz="0" w:space="0" w:color="auto"/>
                    <w:right w:val="none" w:sz="0" w:space="0" w:color="auto"/>
                  </w:divBdr>
                  <w:divsChild>
                    <w:div w:id="1715613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8945036">
          <w:marLeft w:val="0"/>
          <w:marRight w:val="0"/>
          <w:marTop w:val="0"/>
          <w:marBottom w:val="0"/>
          <w:divBdr>
            <w:top w:val="none" w:sz="0" w:space="0" w:color="auto"/>
            <w:left w:val="none" w:sz="0" w:space="0" w:color="auto"/>
            <w:bottom w:val="none" w:sz="0" w:space="0" w:color="auto"/>
            <w:right w:val="none" w:sz="0" w:space="0" w:color="auto"/>
          </w:divBdr>
          <w:divsChild>
            <w:div w:id="2007903296">
              <w:marLeft w:val="0"/>
              <w:marRight w:val="0"/>
              <w:marTop w:val="0"/>
              <w:marBottom w:val="0"/>
              <w:divBdr>
                <w:top w:val="none" w:sz="0" w:space="0" w:color="auto"/>
                <w:left w:val="none" w:sz="0" w:space="0" w:color="auto"/>
                <w:bottom w:val="none" w:sz="0" w:space="0" w:color="auto"/>
                <w:right w:val="none" w:sz="0" w:space="0" w:color="auto"/>
              </w:divBdr>
            </w:div>
          </w:divsChild>
        </w:div>
        <w:div w:id="480536164">
          <w:marLeft w:val="0"/>
          <w:marRight w:val="0"/>
          <w:marTop w:val="0"/>
          <w:marBottom w:val="0"/>
          <w:divBdr>
            <w:top w:val="none" w:sz="0" w:space="0" w:color="auto"/>
            <w:left w:val="none" w:sz="0" w:space="0" w:color="auto"/>
            <w:bottom w:val="none" w:sz="0" w:space="0" w:color="auto"/>
            <w:right w:val="none" w:sz="0" w:space="0" w:color="auto"/>
          </w:divBdr>
          <w:divsChild>
            <w:div w:id="990716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www.sciencedirect.com/topics/earth-and-planetary-sciences/photodissociation"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transmission-electron-microscopy" TargetMode="External"/><Relationship Id="rId5" Type="http://schemas.openxmlformats.org/officeDocument/2006/relationships/hyperlink" Target="https://www.sciencedirect.com/topics/earth-and-planetary-sciences/chondrite" TargetMode="External"/><Relationship Id="rId4" Type="http://schemas.openxmlformats.org/officeDocument/2006/relationships/hyperlink" Target="https://doi.org/10.1016/j.gca.2005.02.029" TargetMode="Externa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1380</Words>
  <Characters>7867</Characters>
  <Application>Microsoft Office Word</Application>
  <DocSecurity>0</DocSecurity>
  <Lines>65</Lines>
  <Paragraphs>18</Paragraphs>
  <ScaleCrop>false</ScaleCrop>
  <Company/>
  <LinksUpToDate>false</LinksUpToDate>
  <CharactersWithSpaces>9229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2023-11-18T04:39:00Z</dcterms:created>
  <dcterms:modified xsi:type="dcterms:W3CDTF">2023-11-18T04:39:00Z</dcterms:modified>
</cp:coreProperties>
</file>