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E6F76" w:rsidRPr="00FE6F76" w:rsidRDefault="00FE6F76" w:rsidP="00FE6F76">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FE6F76">
        <w:rPr>
          <w:rFonts w:ascii="Times New Roman" w:eastAsia="Times New Roman" w:hAnsi="Times New Roman" w:cs="Times New Roman"/>
          <w:b/>
          <w:bCs/>
          <w:kern w:val="36"/>
          <w:sz w:val="48"/>
          <w:szCs w:val="48"/>
          <w:lang w:val="en-US" w:eastAsia="ru-RU"/>
        </w:rPr>
        <w:t xml:space="preserve">Marked ecological shifts during 6.2–2.4 Ma revealed by a terrestrial molluscan record from the Chinese Red Clay Formation and implication for </w:t>
      </w:r>
      <w:proofErr w:type="spellStart"/>
      <w:r w:rsidRPr="00FE6F76">
        <w:rPr>
          <w:rFonts w:ascii="Times New Roman" w:eastAsia="Times New Roman" w:hAnsi="Times New Roman" w:cs="Times New Roman"/>
          <w:b/>
          <w:bCs/>
          <w:kern w:val="36"/>
          <w:sz w:val="48"/>
          <w:szCs w:val="48"/>
          <w:lang w:val="en-US" w:eastAsia="ru-RU"/>
        </w:rPr>
        <w:t>palaeoclimatic</w:t>
      </w:r>
      <w:proofErr w:type="spellEnd"/>
      <w:r w:rsidRPr="00FE6F76">
        <w:rPr>
          <w:rFonts w:ascii="Times New Roman" w:eastAsia="Times New Roman" w:hAnsi="Times New Roman" w:cs="Times New Roman"/>
          <w:b/>
          <w:bCs/>
          <w:kern w:val="36"/>
          <w:sz w:val="48"/>
          <w:szCs w:val="48"/>
          <w:lang w:val="en-US" w:eastAsia="ru-RU"/>
        </w:rPr>
        <w:t xml:space="preserve"> evolution</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Author links open overlay </w:t>
      </w:r>
      <w:proofErr w:type="spellStart"/>
      <w:r w:rsidRPr="00FE6F76">
        <w:rPr>
          <w:rFonts w:ascii="Times New Roman" w:eastAsia="Times New Roman" w:hAnsi="Times New Roman" w:cs="Times New Roman"/>
          <w:sz w:val="24"/>
          <w:szCs w:val="24"/>
          <w:lang w:val="en-US" w:eastAsia="ru-RU"/>
        </w:rPr>
        <w:t>panelNaiqin</w:t>
      </w:r>
      <w:proofErr w:type="spellEnd"/>
      <w:r w:rsidRPr="00FE6F76">
        <w:rPr>
          <w:rFonts w:ascii="Times New Roman" w:eastAsia="Times New Roman" w:hAnsi="Times New Roman" w:cs="Times New Roman"/>
          <w:sz w:val="24"/>
          <w:szCs w:val="24"/>
          <w:lang w:val="en-US" w:eastAsia="ru-RU"/>
        </w:rPr>
        <w:t xml:space="preserve"> Wu </w:t>
      </w:r>
      <w:r w:rsidRPr="00FE6F76">
        <w:rPr>
          <w:rFonts w:ascii="Times New Roman" w:eastAsia="Times New Roman" w:hAnsi="Times New Roman" w:cs="Times New Roman"/>
          <w:sz w:val="24"/>
          <w:szCs w:val="24"/>
          <w:vertAlign w:val="superscript"/>
          <w:lang w:val="en-US" w:eastAsia="ru-RU"/>
        </w:rPr>
        <w:t>a</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sz w:val="24"/>
          <w:szCs w:val="24"/>
          <w:lang w:val="en-US" w:eastAsia="ru-RU"/>
        </w:rPr>
        <w:t>Yunpeng</w:t>
      </w:r>
      <w:proofErr w:type="spellEnd"/>
      <w:r w:rsidRPr="00FE6F76">
        <w:rPr>
          <w:rFonts w:ascii="Times New Roman" w:eastAsia="Times New Roman" w:hAnsi="Times New Roman" w:cs="Times New Roman"/>
          <w:sz w:val="24"/>
          <w:szCs w:val="24"/>
          <w:lang w:val="en-US" w:eastAsia="ru-RU"/>
        </w:rPr>
        <w:t xml:space="preserve"> Pei </w:t>
      </w:r>
      <w:r w:rsidRPr="00FE6F76">
        <w:rPr>
          <w:rFonts w:ascii="Times New Roman" w:eastAsia="Times New Roman" w:hAnsi="Times New Roman" w:cs="Times New Roman"/>
          <w:sz w:val="24"/>
          <w:szCs w:val="24"/>
          <w:vertAlign w:val="superscript"/>
          <w:lang w:val="en-US" w:eastAsia="ru-RU"/>
        </w:rPr>
        <w:t>a</w:t>
      </w:r>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sz w:val="24"/>
          <w:szCs w:val="24"/>
          <w:lang w:val="en-US" w:eastAsia="ru-RU"/>
        </w:rPr>
        <w:t>Houyuan</w:t>
      </w:r>
      <w:proofErr w:type="spellEnd"/>
      <w:r w:rsidRPr="00FE6F76">
        <w:rPr>
          <w:rFonts w:ascii="Times New Roman" w:eastAsia="Times New Roman" w:hAnsi="Times New Roman" w:cs="Times New Roman"/>
          <w:sz w:val="24"/>
          <w:szCs w:val="24"/>
          <w:lang w:val="en-US" w:eastAsia="ru-RU"/>
        </w:rPr>
        <w:t xml:space="preserve"> Lu </w:t>
      </w:r>
      <w:r w:rsidRPr="00FE6F76">
        <w:rPr>
          <w:rFonts w:ascii="Times New Roman" w:eastAsia="Times New Roman" w:hAnsi="Times New Roman" w:cs="Times New Roman"/>
          <w:sz w:val="24"/>
          <w:szCs w:val="24"/>
          <w:vertAlign w:val="superscript"/>
          <w:lang w:val="en-US" w:eastAsia="ru-RU"/>
        </w:rPr>
        <w:t>a</w:t>
      </w:r>
      <w:r w:rsidRPr="00FE6F76">
        <w:rPr>
          <w:rFonts w:ascii="Times New Roman" w:eastAsia="Times New Roman" w:hAnsi="Times New Roman" w:cs="Times New Roman"/>
          <w:sz w:val="24"/>
          <w:szCs w:val="24"/>
          <w:lang w:val="en-US" w:eastAsia="ru-RU"/>
        </w:rPr>
        <w:t xml:space="preserve">, </w:t>
      </w:r>
      <w:bookmarkStart w:id="0" w:name="baep-author-id9-profile"/>
      <w:r w:rsidRPr="00FE6F76">
        <w:rPr>
          <w:rFonts w:ascii="Times New Roman" w:eastAsia="Times New Roman" w:hAnsi="Times New Roman" w:cs="Times New Roman"/>
          <w:sz w:val="24"/>
          <w:szCs w:val="24"/>
          <w:lang w:eastAsia="ru-RU"/>
        </w:rPr>
        <w:fldChar w:fldCharType="begin"/>
      </w:r>
      <w:r w:rsidRPr="00FE6F76">
        <w:rPr>
          <w:rFonts w:ascii="Times New Roman" w:eastAsia="Times New Roman" w:hAnsi="Times New Roman" w:cs="Times New Roman"/>
          <w:sz w:val="24"/>
          <w:szCs w:val="24"/>
          <w:lang w:val="en-US" w:eastAsia="ru-RU"/>
        </w:rPr>
        <w:instrText xml:space="preserve"> HYPERLINK "https://www.sciencedirect.com/author/7404657546/guo-zhengtang" </w:instrText>
      </w:r>
      <w:r w:rsidRPr="00FE6F76">
        <w:rPr>
          <w:rFonts w:ascii="Times New Roman" w:eastAsia="Times New Roman" w:hAnsi="Times New Roman" w:cs="Times New Roman"/>
          <w:sz w:val="24"/>
          <w:szCs w:val="24"/>
          <w:lang w:eastAsia="ru-RU"/>
        </w:rPr>
        <w:fldChar w:fldCharType="separate"/>
      </w:r>
      <w:proofErr w:type="spellStart"/>
      <w:r w:rsidRPr="00FE6F76">
        <w:rPr>
          <w:rFonts w:ascii="Times New Roman" w:eastAsia="Times New Roman" w:hAnsi="Times New Roman" w:cs="Times New Roman"/>
          <w:color w:val="0000FF"/>
          <w:sz w:val="24"/>
          <w:szCs w:val="24"/>
          <w:u w:val="single"/>
          <w:lang w:val="en-US" w:eastAsia="ru-RU"/>
        </w:rPr>
        <w:t>Zhengtang</w:t>
      </w:r>
      <w:proofErr w:type="spellEnd"/>
      <w:r w:rsidRPr="00FE6F76">
        <w:rPr>
          <w:rFonts w:ascii="Times New Roman" w:eastAsia="Times New Roman" w:hAnsi="Times New Roman" w:cs="Times New Roman"/>
          <w:color w:val="0000FF"/>
          <w:sz w:val="24"/>
          <w:szCs w:val="24"/>
          <w:u w:val="single"/>
          <w:lang w:val="en-US" w:eastAsia="ru-RU"/>
        </w:rPr>
        <w:t xml:space="preserve"> Guo </w:t>
      </w:r>
      <w:r w:rsidRPr="00FE6F76">
        <w:rPr>
          <w:rFonts w:ascii="Times New Roman" w:eastAsia="Times New Roman" w:hAnsi="Times New Roman" w:cs="Times New Roman"/>
          <w:sz w:val="24"/>
          <w:szCs w:val="24"/>
          <w:vertAlign w:val="superscript"/>
          <w:lang w:val="en-US" w:eastAsia="ru-RU"/>
        </w:rPr>
        <w:t>a</w:t>
      </w:r>
      <w:r w:rsidRPr="00FE6F76">
        <w:rPr>
          <w:rFonts w:ascii="Times New Roman" w:eastAsia="Times New Roman" w:hAnsi="Times New Roman" w:cs="Times New Roman"/>
          <w:color w:val="0000FF"/>
          <w:sz w:val="24"/>
          <w:szCs w:val="24"/>
          <w:u w:val="single"/>
          <w:lang w:val="en-US" w:eastAsia="ru-RU"/>
        </w:rPr>
        <w:t xml:space="preserve"> </w:t>
      </w:r>
      <w:r w:rsidRPr="00FE6F76">
        <w:rPr>
          <w:rFonts w:ascii="Times New Roman" w:eastAsia="Times New Roman" w:hAnsi="Times New Roman" w:cs="Times New Roman"/>
          <w:sz w:val="24"/>
          <w:szCs w:val="24"/>
          <w:vertAlign w:val="superscript"/>
          <w:lang w:val="en-US" w:eastAsia="ru-RU"/>
        </w:rPr>
        <w:t>b</w:t>
      </w:r>
      <w:r w:rsidRPr="00FE6F76">
        <w:rPr>
          <w:rFonts w:ascii="Times New Roman" w:eastAsia="Times New Roman" w:hAnsi="Times New Roman" w:cs="Times New Roman"/>
          <w:sz w:val="24"/>
          <w:szCs w:val="24"/>
          <w:lang w:eastAsia="ru-RU"/>
        </w:rPr>
        <w:fldChar w:fldCharType="end"/>
      </w:r>
      <w:bookmarkEnd w:id="0"/>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sz w:val="24"/>
          <w:szCs w:val="24"/>
          <w:lang w:val="en-US" w:eastAsia="ru-RU"/>
        </w:rPr>
        <w:t>Fengjiang</w:t>
      </w:r>
      <w:proofErr w:type="spellEnd"/>
      <w:r w:rsidRPr="00FE6F76">
        <w:rPr>
          <w:rFonts w:ascii="Times New Roman" w:eastAsia="Times New Roman" w:hAnsi="Times New Roman" w:cs="Times New Roman"/>
          <w:sz w:val="24"/>
          <w:szCs w:val="24"/>
          <w:lang w:val="en-US" w:eastAsia="ru-RU"/>
        </w:rPr>
        <w:t xml:space="preserve"> Li </w:t>
      </w:r>
      <w:r w:rsidRPr="00FE6F76">
        <w:rPr>
          <w:rFonts w:ascii="Times New Roman" w:eastAsia="Times New Roman" w:hAnsi="Times New Roman" w:cs="Times New Roman"/>
          <w:sz w:val="24"/>
          <w:szCs w:val="24"/>
          <w:vertAlign w:val="superscript"/>
          <w:lang w:val="en-US" w:eastAsia="ru-RU"/>
        </w:rPr>
        <w:t>a</w:t>
      </w:r>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sz w:val="24"/>
          <w:szCs w:val="24"/>
          <w:lang w:val="en-US" w:eastAsia="ru-RU"/>
        </w:rPr>
        <w:t>Tungsheng</w:t>
      </w:r>
      <w:proofErr w:type="spellEnd"/>
      <w:r w:rsidRPr="00FE6F76">
        <w:rPr>
          <w:rFonts w:ascii="Times New Roman" w:eastAsia="Times New Roman" w:hAnsi="Times New Roman" w:cs="Times New Roman"/>
          <w:sz w:val="24"/>
          <w:szCs w:val="24"/>
          <w:lang w:val="en-US" w:eastAsia="ru-RU"/>
        </w:rPr>
        <w:t xml:space="preserve"> Liu </w:t>
      </w:r>
      <w:r w:rsidRPr="00FE6F76">
        <w:rPr>
          <w:rFonts w:ascii="Times New Roman" w:eastAsia="Times New Roman" w:hAnsi="Times New Roman" w:cs="Times New Roman"/>
          <w:sz w:val="24"/>
          <w:szCs w:val="24"/>
          <w:vertAlign w:val="superscript"/>
          <w:lang w:val="en-US" w:eastAsia="ru-RU"/>
        </w:rPr>
        <w:t>a</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Show </w:t>
      </w:r>
      <w:proofErr w:type="spellStart"/>
      <w:r w:rsidRPr="00FE6F76">
        <w:rPr>
          <w:rFonts w:ascii="Times New Roman" w:eastAsia="Times New Roman" w:hAnsi="Times New Roman" w:cs="Times New Roman"/>
          <w:sz w:val="24"/>
          <w:szCs w:val="24"/>
          <w:lang w:val="en-US" w:eastAsia="ru-RU"/>
        </w:rPr>
        <w:t>moreAdd</w:t>
      </w:r>
      <w:proofErr w:type="spellEnd"/>
      <w:r w:rsidRPr="00FE6F76">
        <w:rPr>
          <w:rFonts w:ascii="Times New Roman" w:eastAsia="Times New Roman" w:hAnsi="Times New Roman" w:cs="Times New Roman"/>
          <w:sz w:val="24"/>
          <w:szCs w:val="24"/>
          <w:lang w:val="en-US" w:eastAsia="ru-RU"/>
        </w:rPr>
        <w:t xml:space="preserve"> to Mendeley</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Share</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Cite</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hyperlink r:id="rId4" w:tgtFrame="_blank" w:tooltip="Persistent link using digital object identifier" w:history="1">
        <w:r w:rsidRPr="00FE6F76">
          <w:rPr>
            <w:rFonts w:ascii="Times New Roman" w:eastAsia="Times New Roman" w:hAnsi="Times New Roman" w:cs="Times New Roman"/>
            <w:color w:val="0000FF"/>
            <w:sz w:val="24"/>
            <w:szCs w:val="24"/>
            <w:u w:val="single"/>
            <w:lang w:val="en-US" w:eastAsia="ru-RU"/>
          </w:rPr>
          <w:t>https://doi.org/10.1016/j.palaeo.2005.10.006</w:t>
        </w:r>
      </w:hyperlink>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1" w:name="_GoBack"/>
      <w:bookmarkEnd w:id="1"/>
      <w:r w:rsidRPr="00FE6F76">
        <w:rPr>
          <w:rFonts w:ascii="Times New Roman" w:eastAsia="Times New Roman" w:hAnsi="Times New Roman" w:cs="Times New Roman"/>
          <w:b/>
          <w:bCs/>
          <w:sz w:val="36"/>
          <w:szCs w:val="36"/>
          <w:lang w:val="en-US" w:eastAsia="ru-RU"/>
        </w:rPr>
        <w:t>Abstract</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A new molluscan fossil record from the late Miocene–Pliocene </w:t>
      </w:r>
      <w:proofErr w:type="spellStart"/>
      <w:r w:rsidRPr="00FE6F76">
        <w:rPr>
          <w:rFonts w:ascii="Times New Roman" w:eastAsia="Times New Roman" w:hAnsi="Times New Roman" w:cs="Times New Roman"/>
          <w:sz w:val="24"/>
          <w:szCs w:val="24"/>
          <w:lang w:val="en-US" w:eastAsia="ru-RU"/>
        </w:rPr>
        <w:t>Xifeng</w:t>
      </w:r>
      <w:proofErr w:type="spellEnd"/>
      <w:r w:rsidRPr="00FE6F76">
        <w:rPr>
          <w:rFonts w:ascii="Times New Roman" w:eastAsia="Times New Roman" w:hAnsi="Times New Roman" w:cs="Times New Roman"/>
          <w:sz w:val="24"/>
          <w:szCs w:val="24"/>
          <w:lang w:val="en-US" w:eastAsia="ru-RU"/>
        </w:rPr>
        <w:t xml:space="preserve"> Red Clay sequence in the central Loess Plateau, northern China, reveals the process of ecological environmental changes during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6.2–2.4 Ma. Three marked ecological shifts in mollusk assemblages occurred at about 5.4, 4.5, and 3.4 Ma, which reflect changes in the East Asian monsoon circulation. A predominantly cold-</w:t>
      </w:r>
      <w:proofErr w:type="spellStart"/>
      <w:r w:rsidRPr="00FE6F76">
        <w:rPr>
          <w:rFonts w:ascii="Times New Roman" w:eastAsia="Times New Roman" w:hAnsi="Times New Roman" w:cs="Times New Roman"/>
          <w:sz w:val="24"/>
          <w:szCs w:val="24"/>
          <w:lang w:val="en-US" w:eastAsia="ru-RU"/>
        </w:rPr>
        <w:t>aridiphilous</w:t>
      </w:r>
      <w:proofErr w:type="spellEnd"/>
      <w:r w:rsidRPr="00FE6F76">
        <w:rPr>
          <w:rFonts w:ascii="Times New Roman" w:eastAsia="Times New Roman" w:hAnsi="Times New Roman" w:cs="Times New Roman"/>
          <w:sz w:val="24"/>
          <w:szCs w:val="24"/>
          <w:lang w:val="en-US" w:eastAsia="ru-RU"/>
        </w:rPr>
        <w:t xml:space="preserve"> group reveals an extremely cold dry climate due to strengthened East Asian winter monsoon during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6.2–5.4 Ma. A predominantly thermo-</w:t>
      </w:r>
      <w:proofErr w:type="spellStart"/>
      <w:r w:rsidRPr="00FE6F76">
        <w:rPr>
          <w:rFonts w:ascii="Times New Roman" w:eastAsia="Times New Roman" w:hAnsi="Times New Roman" w:cs="Times New Roman"/>
          <w:sz w:val="24"/>
          <w:szCs w:val="24"/>
          <w:lang w:val="en-US" w:eastAsia="ru-RU"/>
        </w:rPr>
        <w:t>humidiphilous</w:t>
      </w:r>
      <w:proofErr w:type="spellEnd"/>
      <w:r w:rsidRPr="00FE6F76">
        <w:rPr>
          <w:rFonts w:ascii="Times New Roman" w:eastAsia="Times New Roman" w:hAnsi="Times New Roman" w:cs="Times New Roman"/>
          <w:sz w:val="24"/>
          <w:szCs w:val="24"/>
          <w:lang w:val="en-US" w:eastAsia="ru-RU"/>
        </w:rPr>
        <w:t xml:space="preserve"> group from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xml:space="preserve"> 5.4–4.5 Ma indicates a strengthening of the East Asia summer monsoon circulation. The marked occurrence of meso-xerophilous taxa during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4.5–3.4 Ma implies mild climatic conditions. From 3.4 Ma, the cold-</w:t>
      </w:r>
      <w:proofErr w:type="spellStart"/>
      <w:r w:rsidRPr="00FE6F76">
        <w:rPr>
          <w:rFonts w:ascii="Times New Roman" w:eastAsia="Times New Roman" w:hAnsi="Times New Roman" w:cs="Times New Roman"/>
          <w:sz w:val="24"/>
          <w:szCs w:val="24"/>
          <w:lang w:val="en-US" w:eastAsia="ru-RU"/>
        </w:rPr>
        <w:t>aridiphilious</w:t>
      </w:r>
      <w:proofErr w:type="spellEnd"/>
      <w:r w:rsidRPr="00FE6F76">
        <w:rPr>
          <w:rFonts w:ascii="Times New Roman" w:eastAsia="Times New Roman" w:hAnsi="Times New Roman" w:cs="Times New Roman"/>
          <w:sz w:val="24"/>
          <w:szCs w:val="24"/>
          <w:lang w:val="en-US" w:eastAsia="ru-RU"/>
        </w:rPr>
        <w:t xml:space="preserve"> species again became dominant in the </w:t>
      </w:r>
      <w:hyperlink r:id="rId5" w:tooltip="Learn more about fossil assemblages from ScienceDirect's AI-generated Topic Pages" w:history="1">
        <w:r w:rsidRPr="00FE6F76">
          <w:rPr>
            <w:rFonts w:ascii="Times New Roman" w:eastAsia="Times New Roman" w:hAnsi="Times New Roman" w:cs="Times New Roman"/>
            <w:color w:val="0000FF"/>
            <w:sz w:val="24"/>
            <w:szCs w:val="24"/>
            <w:u w:val="single"/>
            <w:lang w:val="en-US" w:eastAsia="ru-RU"/>
          </w:rPr>
          <w:t>fossil assemblages</w:t>
        </w:r>
      </w:hyperlink>
      <w:r w:rsidRPr="00FE6F76">
        <w:rPr>
          <w:rFonts w:ascii="Times New Roman" w:eastAsia="Times New Roman" w:hAnsi="Times New Roman" w:cs="Times New Roman"/>
          <w:sz w:val="24"/>
          <w:szCs w:val="24"/>
          <w:lang w:val="en-US" w:eastAsia="ru-RU"/>
        </w:rPr>
        <w:t xml:space="preserve">, indicating that the winter monsoon was gradually intensifying towards the Quaternary glaciations. </w:t>
      </w:r>
      <w:hyperlink r:id="rId6" w:tooltip="Learn more about Climate changes from ScienceDirect's AI-generated Topic Pages" w:history="1">
        <w:r w:rsidRPr="00FE6F76">
          <w:rPr>
            <w:rFonts w:ascii="Times New Roman" w:eastAsia="Times New Roman" w:hAnsi="Times New Roman" w:cs="Times New Roman"/>
            <w:color w:val="0000FF"/>
            <w:sz w:val="24"/>
            <w:szCs w:val="24"/>
            <w:u w:val="single"/>
            <w:lang w:val="en-US" w:eastAsia="ru-RU"/>
          </w:rPr>
          <w:t>Climate changes</w:t>
        </w:r>
      </w:hyperlink>
      <w:r w:rsidRPr="00FE6F76">
        <w:rPr>
          <w:rFonts w:ascii="Times New Roman" w:eastAsia="Times New Roman" w:hAnsi="Times New Roman" w:cs="Times New Roman"/>
          <w:sz w:val="24"/>
          <w:szCs w:val="24"/>
          <w:lang w:val="en-US" w:eastAsia="ru-RU"/>
        </w:rPr>
        <w:t xml:space="preserve"> in this region were characterized by stepwise cooling from 5.4 to 2.4 Ma with a 1 Ma rhythmicity. The cooling trend is in good agreement with the general global cooling trend during this period, as documented by marine </w:t>
      </w:r>
      <w:r w:rsidRPr="00FE6F76">
        <w:rPr>
          <w:rFonts w:ascii="Times New Roman" w:eastAsia="Times New Roman" w:hAnsi="Times New Roman" w:cs="Times New Roman"/>
          <w:sz w:val="24"/>
          <w:szCs w:val="24"/>
          <w:lang w:eastAsia="ru-RU"/>
        </w:rPr>
        <w:t>δ</w:t>
      </w:r>
      <w:r w:rsidRPr="00FE6F76">
        <w:rPr>
          <w:rFonts w:ascii="Times New Roman" w:eastAsia="Times New Roman" w:hAnsi="Times New Roman" w:cs="Times New Roman"/>
          <w:sz w:val="24"/>
          <w:szCs w:val="24"/>
          <w:vertAlign w:val="superscript"/>
          <w:lang w:val="en-US" w:eastAsia="ru-RU"/>
        </w:rPr>
        <w:t>18</w:t>
      </w:r>
      <w:r w:rsidRPr="00FE6F76">
        <w:rPr>
          <w:rFonts w:ascii="Times New Roman" w:eastAsia="Times New Roman" w:hAnsi="Times New Roman" w:cs="Times New Roman"/>
          <w:sz w:val="24"/>
          <w:szCs w:val="24"/>
          <w:lang w:val="en-US" w:eastAsia="ru-RU"/>
        </w:rPr>
        <w:t xml:space="preserve">O records. The formation and development of the Northern Hemisphere ice sheets during the late </w:t>
      </w:r>
      <w:hyperlink r:id="rId7" w:tooltip="Learn more about Pliocene from ScienceDirect's AI-generated Topic Pages" w:history="1">
        <w:r w:rsidRPr="00FE6F76">
          <w:rPr>
            <w:rFonts w:ascii="Times New Roman" w:eastAsia="Times New Roman" w:hAnsi="Times New Roman" w:cs="Times New Roman"/>
            <w:color w:val="0000FF"/>
            <w:sz w:val="24"/>
            <w:szCs w:val="24"/>
            <w:u w:val="single"/>
            <w:lang w:val="en-US" w:eastAsia="ru-RU"/>
          </w:rPr>
          <w:t>Pliocene</w:t>
        </w:r>
      </w:hyperlink>
      <w:r w:rsidRPr="00FE6F76">
        <w:rPr>
          <w:rFonts w:ascii="Times New Roman" w:eastAsia="Times New Roman" w:hAnsi="Times New Roman" w:cs="Times New Roman"/>
          <w:sz w:val="24"/>
          <w:szCs w:val="24"/>
          <w:lang w:val="en-US" w:eastAsia="ru-RU"/>
        </w:rPr>
        <w:t xml:space="preserve"> accelerated the climate deterioration towards the Quaternary glaciations. The history of environmental changes revealed by the Red Clay molluscan </w:t>
      </w:r>
      <w:hyperlink r:id="rId8" w:tooltip="Learn more about fossils from ScienceDirect's AI-generated Topic Pages" w:history="1">
        <w:r w:rsidRPr="00FE6F76">
          <w:rPr>
            <w:rFonts w:ascii="Times New Roman" w:eastAsia="Times New Roman" w:hAnsi="Times New Roman" w:cs="Times New Roman"/>
            <w:color w:val="0000FF"/>
            <w:sz w:val="24"/>
            <w:szCs w:val="24"/>
            <w:u w:val="single"/>
            <w:lang w:val="en-US" w:eastAsia="ru-RU"/>
          </w:rPr>
          <w:t>fossils</w:t>
        </w:r>
      </w:hyperlink>
      <w:r w:rsidRPr="00FE6F76">
        <w:rPr>
          <w:rFonts w:ascii="Times New Roman" w:eastAsia="Times New Roman" w:hAnsi="Times New Roman" w:cs="Times New Roman"/>
          <w:sz w:val="24"/>
          <w:szCs w:val="24"/>
          <w:lang w:val="en-US" w:eastAsia="ru-RU"/>
        </w:rPr>
        <w:t xml:space="preserve"> is coupled in phase with the process of </w:t>
      </w:r>
      <w:hyperlink r:id="rId9" w:tooltip="Learn more about Tibetan Plateau from ScienceDirect's AI-generated Topic Pages" w:history="1">
        <w:r w:rsidRPr="00FE6F76">
          <w:rPr>
            <w:rFonts w:ascii="Times New Roman" w:eastAsia="Times New Roman" w:hAnsi="Times New Roman" w:cs="Times New Roman"/>
            <w:color w:val="0000FF"/>
            <w:sz w:val="24"/>
            <w:szCs w:val="24"/>
            <w:u w:val="single"/>
            <w:lang w:val="en-US" w:eastAsia="ru-RU"/>
          </w:rPr>
          <w:t>Tibetan Plateau</w:t>
        </w:r>
      </w:hyperlink>
      <w:r w:rsidRPr="00FE6F76">
        <w:rPr>
          <w:rFonts w:ascii="Times New Roman" w:eastAsia="Times New Roman" w:hAnsi="Times New Roman" w:cs="Times New Roman"/>
          <w:sz w:val="24"/>
          <w:szCs w:val="24"/>
          <w:lang w:val="en-US" w:eastAsia="ru-RU"/>
        </w:rPr>
        <w:t xml:space="preserve"> uplift, which may be the major cause and forcing mechanism of late Miocene–Pliocene environmental changes in the Loess Plateau.</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Introduction</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Since late Cenozoic time, the Earth's climate has undergone a significant and complex evolution, marked by a general global cooling trend (e.g., Miller et al., 1987, </w:t>
      </w:r>
      <w:proofErr w:type="spellStart"/>
      <w:r w:rsidRPr="00FE6F76">
        <w:rPr>
          <w:rFonts w:ascii="Times New Roman" w:eastAsia="Times New Roman" w:hAnsi="Times New Roman" w:cs="Times New Roman"/>
          <w:sz w:val="24"/>
          <w:szCs w:val="24"/>
          <w:lang w:val="en-US" w:eastAsia="ru-RU"/>
        </w:rPr>
        <w:t>Zachos</w:t>
      </w:r>
      <w:proofErr w:type="spellEnd"/>
      <w:r w:rsidRPr="00FE6F76">
        <w:rPr>
          <w:rFonts w:ascii="Times New Roman" w:eastAsia="Times New Roman" w:hAnsi="Times New Roman" w:cs="Times New Roman"/>
          <w:sz w:val="24"/>
          <w:szCs w:val="24"/>
          <w:lang w:val="en-US" w:eastAsia="ru-RU"/>
        </w:rPr>
        <w:t xml:space="preserve"> et al., 2001). It is hypothesized that the uplift of the Tibetan Plateau and the consequent increase in chemical weathering rate was probably one of the major causes of the general cooling of the Northern Hemisphere through a </w:t>
      </w:r>
      <w:proofErr w:type="spellStart"/>
      <w:r w:rsidRPr="00FE6F76">
        <w:rPr>
          <w:rFonts w:ascii="Times New Roman" w:eastAsia="Times New Roman" w:hAnsi="Times New Roman" w:cs="Times New Roman"/>
          <w:sz w:val="24"/>
          <w:szCs w:val="24"/>
          <w:lang w:val="en-US" w:eastAsia="ru-RU"/>
        </w:rPr>
        <w:t>draw down</w:t>
      </w:r>
      <w:proofErr w:type="spellEnd"/>
      <w:r w:rsidRPr="00FE6F76">
        <w:rPr>
          <w:rFonts w:ascii="Times New Roman" w:eastAsia="Times New Roman" w:hAnsi="Times New Roman" w:cs="Times New Roman"/>
          <w:sz w:val="24"/>
          <w:szCs w:val="24"/>
          <w:lang w:val="en-US" w:eastAsia="ru-RU"/>
        </w:rPr>
        <w:t xml:space="preserve"> of atmospheric CO</w:t>
      </w:r>
      <w:r w:rsidRPr="00FE6F76">
        <w:rPr>
          <w:rFonts w:ascii="Times New Roman" w:eastAsia="Times New Roman" w:hAnsi="Times New Roman" w:cs="Times New Roman"/>
          <w:sz w:val="24"/>
          <w:szCs w:val="24"/>
          <w:vertAlign w:val="subscript"/>
          <w:lang w:val="en-US" w:eastAsia="ru-RU"/>
        </w:rPr>
        <w:t>2</w:t>
      </w:r>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sz w:val="24"/>
          <w:szCs w:val="24"/>
          <w:lang w:val="en-US" w:eastAsia="ru-RU"/>
        </w:rPr>
        <w:t>Ruddiman</w:t>
      </w:r>
      <w:proofErr w:type="spellEnd"/>
      <w:r w:rsidRPr="00FE6F76">
        <w:rPr>
          <w:rFonts w:ascii="Times New Roman" w:eastAsia="Times New Roman" w:hAnsi="Times New Roman" w:cs="Times New Roman"/>
          <w:sz w:val="24"/>
          <w:szCs w:val="24"/>
          <w:lang w:val="en-US" w:eastAsia="ru-RU"/>
        </w:rPr>
        <w:t xml:space="preserve"> and </w:t>
      </w:r>
      <w:proofErr w:type="spellStart"/>
      <w:r w:rsidRPr="00FE6F76">
        <w:rPr>
          <w:rFonts w:ascii="Times New Roman" w:eastAsia="Times New Roman" w:hAnsi="Times New Roman" w:cs="Times New Roman"/>
          <w:sz w:val="24"/>
          <w:szCs w:val="24"/>
          <w:lang w:val="en-US" w:eastAsia="ru-RU"/>
        </w:rPr>
        <w:t>Kutzbach</w:t>
      </w:r>
      <w:proofErr w:type="spellEnd"/>
      <w:r w:rsidRPr="00FE6F76">
        <w:rPr>
          <w:rFonts w:ascii="Times New Roman" w:eastAsia="Times New Roman" w:hAnsi="Times New Roman" w:cs="Times New Roman"/>
          <w:sz w:val="24"/>
          <w:szCs w:val="24"/>
          <w:lang w:val="en-US" w:eastAsia="ru-RU"/>
        </w:rPr>
        <w:t xml:space="preserve">, 1990, </w:t>
      </w:r>
      <w:proofErr w:type="spellStart"/>
      <w:r w:rsidRPr="00FE6F76">
        <w:rPr>
          <w:rFonts w:ascii="Times New Roman" w:eastAsia="Times New Roman" w:hAnsi="Times New Roman" w:cs="Times New Roman"/>
          <w:sz w:val="24"/>
          <w:szCs w:val="24"/>
          <w:lang w:val="en-US" w:eastAsia="ru-RU"/>
        </w:rPr>
        <w:t>Raymo</w:t>
      </w:r>
      <w:proofErr w:type="spellEnd"/>
      <w:r w:rsidRPr="00FE6F76">
        <w:rPr>
          <w:rFonts w:ascii="Times New Roman" w:eastAsia="Times New Roman" w:hAnsi="Times New Roman" w:cs="Times New Roman"/>
          <w:sz w:val="24"/>
          <w:szCs w:val="24"/>
          <w:lang w:val="en-US" w:eastAsia="ru-RU"/>
        </w:rPr>
        <w:t xml:space="preserve"> et al., 1988, </w:t>
      </w:r>
      <w:proofErr w:type="spellStart"/>
      <w:r w:rsidRPr="00FE6F76">
        <w:rPr>
          <w:rFonts w:ascii="Times New Roman" w:eastAsia="Times New Roman" w:hAnsi="Times New Roman" w:cs="Times New Roman"/>
          <w:sz w:val="24"/>
          <w:szCs w:val="24"/>
          <w:lang w:val="en-US" w:eastAsia="ru-RU"/>
        </w:rPr>
        <w:t>Raymo</w:t>
      </w:r>
      <w:proofErr w:type="spellEnd"/>
      <w:r w:rsidRPr="00FE6F76">
        <w:rPr>
          <w:rFonts w:ascii="Times New Roman" w:eastAsia="Times New Roman" w:hAnsi="Times New Roman" w:cs="Times New Roman"/>
          <w:sz w:val="24"/>
          <w:szCs w:val="24"/>
          <w:lang w:val="en-US" w:eastAsia="ru-RU"/>
        </w:rPr>
        <w:t xml:space="preserve"> and </w:t>
      </w:r>
      <w:proofErr w:type="spellStart"/>
      <w:r w:rsidRPr="00FE6F76">
        <w:rPr>
          <w:rFonts w:ascii="Times New Roman" w:eastAsia="Times New Roman" w:hAnsi="Times New Roman" w:cs="Times New Roman"/>
          <w:sz w:val="24"/>
          <w:szCs w:val="24"/>
          <w:lang w:val="en-US" w:eastAsia="ru-RU"/>
        </w:rPr>
        <w:t>Ruddiman</w:t>
      </w:r>
      <w:proofErr w:type="spellEnd"/>
      <w:r w:rsidRPr="00FE6F76">
        <w:rPr>
          <w:rFonts w:ascii="Times New Roman" w:eastAsia="Times New Roman" w:hAnsi="Times New Roman" w:cs="Times New Roman"/>
          <w:sz w:val="24"/>
          <w:szCs w:val="24"/>
          <w:lang w:val="en-US" w:eastAsia="ru-RU"/>
        </w:rPr>
        <w:t>, 1992). The uplifted Tibetan Plateau in the late Cenozoic induced a strengthening of the Asian monsoon system (</w:t>
      </w:r>
      <w:proofErr w:type="spellStart"/>
      <w:r w:rsidRPr="00FE6F76">
        <w:rPr>
          <w:rFonts w:ascii="Times New Roman" w:eastAsia="Times New Roman" w:hAnsi="Times New Roman" w:cs="Times New Roman"/>
          <w:sz w:val="24"/>
          <w:szCs w:val="24"/>
          <w:lang w:val="en-US" w:eastAsia="ru-RU"/>
        </w:rPr>
        <w:t>Prell</w:t>
      </w:r>
      <w:proofErr w:type="spellEnd"/>
      <w:r w:rsidRPr="00FE6F76">
        <w:rPr>
          <w:rFonts w:ascii="Times New Roman" w:eastAsia="Times New Roman" w:hAnsi="Times New Roman" w:cs="Times New Roman"/>
          <w:sz w:val="24"/>
          <w:szCs w:val="24"/>
          <w:lang w:val="en-US" w:eastAsia="ru-RU"/>
        </w:rPr>
        <w:t xml:space="preserve"> and </w:t>
      </w:r>
      <w:proofErr w:type="spellStart"/>
      <w:r w:rsidRPr="00FE6F76">
        <w:rPr>
          <w:rFonts w:ascii="Times New Roman" w:eastAsia="Times New Roman" w:hAnsi="Times New Roman" w:cs="Times New Roman"/>
          <w:sz w:val="24"/>
          <w:szCs w:val="24"/>
          <w:lang w:val="en-US" w:eastAsia="ru-RU"/>
        </w:rPr>
        <w:t>Kutzbach</w:t>
      </w:r>
      <w:proofErr w:type="spellEnd"/>
      <w:r w:rsidRPr="00FE6F76">
        <w:rPr>
          <w:rFonts w:ascii="Times New Roman" w:eastAsia="Times New Roman" w:hAnsi="Times New Roman" w:cs="Times New Roman"/>
          <w:sz w:val="24"/>
          <w:szCs w:val="24"/>
          <w:lang w:val="en-US" w:eastAsia="ru-RU"/>
        </w:rPr>
        <w:t xml:space="preserve">, 1992), the drying of the Asian interior (Rea et al., 1998, Guo et al., 2004), and a marked ecological shift (Quade et al., 1989). However, the detailed environmental effect of the Tibetan Plateau uplift on adjacent areas, especially for the period of the late Miocene to Pleistocene, is less well known (e.g., Fort, 1996, </w:t>
      </w:r>
      <w:proofErr w:type="spellStart"/>
      <w:r w:rsidRPr="00FE6F76">
        <w:rPr>
          <w:rFonts w:ascii="Times New Roman" w:eastAsia="Times New Roman" w:hAnsi="Times New Roman" w:cs="Times New Roman"/>
          <w:sz w:val="24"/>
          <w:szCs w:val="24"/>
          <w:lang w:val="en-US" w:eastAsia="ru-RU"/>
        </w:rPr>
        <w:t>Xiong</w:t>
      </w:r>
      <w:proofErr w:type="spellEnd"/>
      <w:r w:rsidRPr="00FE6F76">
        <w:rPr>
          <w:rFonts w:ascii="Times New Roman" w:eastAsia="Times New Roman" w:hAnsi="Times New Roman" w:cs="Times New Roman"/>
          <w:sz w:val="24"/>
          <w:szCs w:val="24"/>
          <w:lang w:val="en-US" w:eastAsia="ru-RU"/>
        </w:rPr>
        <w:t xml:space="preserve"> et al., 2003). The loess–paleosol deposits from the Chinese Loess Plateau provide an important archive of the evolution of atmospheric circulation and paleoenvironmental changes </w:t>
      </w:r>
      <w:r w:rsidRPr="00FE6F76">
        <w:rPr>
          <w:rFonts w:ascii="Times New Roman" w:eastAsia="Times New Roman" w:hAnsi="Times New Roman" w:cs="Times New Roman"/>
          <w:sz w:val="24"/>
          <w:szCs w:val="24"/>
          <w:lang w:val="en-US" w:eastAsia="ru-RU"/>
        </w:rPr>
        <w:lastRenderedPageBreak/>
        <w:t>in East Asia. Thus, they provide a regional record of the Late Miocene to Pliocene uplift of the Tibetan Plateau and general global cooling (Liu, 1985, An et al., 2001, Ding et al., 1999, Guo et al., 2002).</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The Chinese loess–soil sequence, which is dated back to 2.4–2.6 Ma (Ding et al., 2001), is underlain directly by reddish clay-silt-sized sediments called the Red Clay Formation (Liu, 1985). Field observations and geochemical and sedimentological studies have demonstrated that the Red Clay Formation is also wind-blown in origin, thus extending the age of aeolian deposits to about 7–8 Ma in the eastern Loess Plateau (Ding et al., 1998, Ding et al., 2001, Sun et al., 1998a, Lu et al., 2001). Moreover, a recent loess–paleosol study has extended this aeolian record back to 22 Ma in the western Loess Plateau (Guo et al., 2002). These extensions provide good opportunities to reconstruct the long-term monsoon history and ecological succession from these aeolian sequences by using uniform proxy records. Here, we present a new molluscan record from the late Miocene–Pliocene Red Clay sequence at </w:t>
      </w:r>
      <w:proofErr w:type="spellStart"/>
      <w:r w:rsidRPr="00FE6F76">
        <w:rPr>
          <w:rFonts w:ascii="Times New Roman" w:eastAsia="Times New Roman" w:hAnsi="Times New Roman" w:cs="Times New Roman"/>
          <w:sz w:val="24"/>
          <w:szCs w:val="24"/>
          <w:lang w:val="en-US" w:eastAsia="ru-RU"/>
        </w:rPr>
        <w:t>Xifeng</w:t>
      </w:r>
      <w:proofErr w:type="spellEnd"/>
      <w:r w:rsidRPr="00FE6F76">
        <w:rPr>
          <w:rFonts w:ascii="Times New Roman" w:eastAsia="Times New Roman" w:hAnsi="Times New Roman" w:cs="Times New Roman"/>
          <w:sz w:val="24"/>
          <w:szCs w:val="24"/>
          <w:lang w:val="en-US" w:eastAsia="ru-RU"/>
        </w:rPr>
        <w:t>, in Gansu Province. The paper has three objectives: to address the succession of molluscan assemblages and their environmental implications; to investigate the process of ecological environmental changes in the Loess Plateau from 6.2–2.4 Ma; and to interpret the major causes and forcing mechanisms of the late Miocene–Pliocene ecological environmental changes in this region. We interpret the succession of molluscan assemblages in the context of variations in East Asian monsoons and the late Cenozoic global cooling that is closely linked with the phased tectonic uplift and the development of Northern Hemisphere glaciation. This study is important for improving our understanding of the environmental effects of the Tibetan Plateau uplift on adjacent areas, as well as the patterns and processes of climate changes and the response of the ecological system.</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Section snippets</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General setting and methods</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The </w:t>
      </w:r>
      <w:proofErr w:type="spellStart"/>
      <w:r w:rsidRPr="00FE6F76">
        <w:rPr>
          <w:rFonts w:ascii="Times New Roman" w:eastAsia="Times New Roman" w:hAnsi="Times New Roman" w:cs="Times New Roman"/>
          <w:sz w:val="24"/>
          <w:szCs w:val="24"/>
          <w:lang w:val="en-US" w:eastAsia="ru-RU"/>
        </w:rPr>
        <w:t>Xifeng</w:t>
      </w:r>
      <w:proofErr w:type="spellEnd"/>
      <w:r w:rsidRPr="00FE6F76">
        <w:rPr>
          <w:rFonts w:ascii="Times New Roman" w:eastAsia="Times New Roman" w:hAnsi="Times New Roman" w:cs="Times New Roman"/>
          <w:sz w:val="24"/>
          <w:szCs w:val="24"/>
          <w:lang w:val="en-US" w:eastAsia="ru-RU"/>
        </w:rPr>
        <w:t xml:space="preserve"> section (107°58′E, 35°53′N) is located in the central part of the Loess Plateau (Fig. 1) at an elevation of ca. 1300 m above sea level. The site is situated at present in the northern margin of the East Asian summer monsoon (Zhang and Liu, 1992). The mean annual temperature of this region varies from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xml:space="preserve"> 8.9 to 9.1 °C, and the mean annual precipitation ranges from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580 to 590 mm. The average temperature of July, the warmest month, is about 22.3 °C. In the summer season, the East Asian</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 xml:space="preserve">Composition of mollusk taxa in the </w:t>
      </w:r>
      <w:proofErr w:type="spellStart"/>
      <w:r w:rsidRPr="00FE6F76">
        <w:rPr>
          <w:rFonts w:ascii="Times New Roman" w:eastAsia="Times New Roman" w:hAnsi="Times New Roman" w:cs="Times New Roman"/>
          <w:b/>
          <w:bCs/>
          <w:sz w:val="36"/>
          <w:szCs w:val="36"/>
          <w:lang w:val="en-US" w:eastAsia="ru-RU"/>
        </w:rPr>
        <w:t>Xifeng</w:t>
      </w:r>
      <w:proofErr w:type="spellEnd"/>
      <w:r w:rsidRPr="00FE6F76">
        <w:rPr>
          <w:rFonts w:ascii="Times New Roman" w:eastAsia="Times New Roman" w:hAnsi="Times New Roman" w:cs="Times New Roman"/>
          <w:b/>
          <w:bCs/>
          <w:sz w:val="36"/>
          <w:szCs w:val="36"/>
          <w:lang w:val="en-US" w:eastAsia="ru-RU"/>
        </w:rPr>
        <w:t xml:space="preserve"> Red Clay sequence</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Terrestrial molluscan fossils are abundant in the </w:t>
      </w:r>
      <w:proofErr w:type="spellStart"/>
      <w:r w:rsidRPr="00FE6F76">
        <w:rPr>
          <w:rFonts w:ascii="Times New Roman" w:eastAsia="Times New Roman" w:hAnsi="Times New Roman" w:cs="Times New Roman"/>
          <w:sz w:val="24"/>
          <w:szCs w:val="24"/>
          <w:lang w:val="en-US" w:eastAsia="ru-RU"/>
        </w:rPr>
        <w:t>Xifeng</w:t>
      </w:r>
      <w:proofErr w:type="spellEnd"/>
      <w:r w:rsidRPr="00FE6F76">
        <w:rPr>
          <w:rFonts w:ascii="Times New Roman" w:eastAsia="Times New Roman" w:hAnsi="Times New Roman" w:cs="Times New Roman"/>
          <w:sz w:val="24"/>
          <w:szCs w:val="24"/>
          <w:lang w:val="en-US" w:eastAsia="ru-RU"/>
        </w:rPr>
        <w:t xml:space="preserve"> Red Clay sequence. They are especially enriched in the middle part (22.2–34.5 m), forming molluscan fossil layers or a conglomerated contribution. All levels yielded mollusk shells; the minimum count is three shells at the top, and the maximum reaches 348 at a depth of 27.3 m (Fig. 3). Twelve mollusk species were identified in the sequence. These include </w:t>
      </w:r>
      <w:proofErr w:type="spellStart"/>
      <w:r w:rsidRPr="00FE6F76">
        <w:rPr>
          <w:rFonts w:ascii="Times New Roman" w:eastAsia="Times New Roman" w:hAnsi="Times New Roman" w:cs="Times New Roman"/>
          <w:i/>
          <w:iCs/>
          <w:sz w:val="24"/>
          <w:szCs w:val="24"/>
          <w:lang w:val="en-US" w:eastAsia="ru-RU"/>
        </w:rPr>
        <w:t>Metodontia</w:t>
      </w:r>
      <w:proofErr w:type="spellEnd"/>
      <w:r w:rsidRPr="00FE6F76">
        <w:rPr>
          <w:rFonts w:ascii="Times New Roman" w:eastAsia="Times New Roman" w:hAnsi="Times New Roman" w:cs="Times New Roman"/>
          <w:sz w:val="24"/>
          <w:szCs w:val="24"/>
          <w:lang w:val="en-US" w:eastAsia="ru-RU"/>
        </w:rPr>
        <w:t xml:space="preserve"> cf. </w:t>
      </w:r>
      <w:proofErr w:type="spellStart"/>
      <w:r w:rsidRPr="00FE6F76">
        <w:rPr>
          <w:rFonts w:ascii="Times New Roman" w:eastAsia="Times New Roman" w:hAnsi="Times New Roman" w:cs="Times New Roman"/>
          <w:i/>
          <w:iCs/>
          <w:sz w:val="24"/>
          <w:szCs w:val="24"/>
          <w:lang w:val="en-US" w:eastAsia="ru-RU"/>
        </w:rPr>
        <w:t>yantaiensis</w:t>
      </w:r>
      <w:proofErr w:type="spellEnd"/>
      <w:r w:rsidRPr="00FE6F76">
        <w:rPr>
          <w:rFonts w:ascii="Times New Roman" w:eastAsia="Times New Roman" w:hAnsi="Times New Roman" w:cs="Times New Roman"/>
          <w:sz w:val="24"/>
          <w:szCs w:val="24"/>
          <w:lang w:val="en-US" w:eastAsia="ru-RU"/>
        </w:rPr>
        <w:t xml:space="preserve">, </w:t>
      </w:r>
      <w:proofErr w:type="spellStart"/>
      <w:r w:rsidRPr="00FE6F76">
        <w:rPr>
          <w:rFonts w:ascii="Times New Roman" w:eastAsia="Times New Roman" w:hAnsi="Times New Roman" w:cs="Times New Roman"/>
          <w:i/>
          <w:iCs/>
          <w:sz w:val="24"/>
          <w:szCs w:val="24"/>
          <w:lang w:val="en-US" w:eastAsia="ru-RU"/>
        </w:rPr>
        <w:t>Metodontia</w:t>
      </w:r>
      <w:proofErr w:type="spellEnd"/>
      <w:r w:rsidRPr="00FE6F76">
        <w:rPr>
          <w:rFonts w:ascii="Times New Roman" w:eastAsia="Times New Roman" w:hAnsi="Times New Roman" w:cs="Times New Roman"/>
          <w:sz w:val="24"/>
          <w:szCs w:val="24"/>
          <w:lang w:val="en-US" w:eastAsia="ru-RU"/>
        </w:rPr>
        <w:t xml:space="preserve"> cf. </w:t>
      </w:r>
      <w:proofErr w:type="spellStart"/>
      <w:r w:rsidRPr="00FE6F76">
        <w:rPr>
          <w:rFonts w:ascii="Times New Roman" w:eastAsia="Times New Roman" w:hAnsi="Times New Roman" w:cs="Times New Roman"/>
          <w:i/>
          <w:iCs/>
          <w:sz w:val="24"/>
          <w:szCs w:val="24"/>
          <w:lang w:val="en-US" w:eastAsia="ru-RU"/>
        </w:rPr>
        <w:t>huaiensis</w:t>
      </w:r>
      <w:proofErr w:type="spellEnd"/>
      <w:r w:rsidRPr="00FE6F76">
        <w:rPr>
          <w:rFonts w:ascii="Times New Roman" w:eastAsia="Times New Roman" w:hAnsi="Times New Roman" w:cs="Times New Roman"/>
          <w:sz w:val="24"/>
          <w:szCs w:val="24"/>
          <w:lang w:val="en-US" w:eastAsia="ru-RU"/>
        </w:rPr>
        <w:t xml:space="preserve">, </w:t>
      </w:r>
      <w:r w:rsidRPr="00FE6F76">
        <w:rPr>
          <w:rFonts w:ascii="Times New Roman" w:eastAsia="Times New Roman" w:hAnsi="Times New Roman" w:cs="Times New Roman"/>
          <w:i/>
          <w:iCs/>
          <w:sz w:val="24"/>
          <w:szCs w:val="24"/>
          <w:lang w:val="en-US" w:eastAsia="ru-RU"/>
        </w:rPr>
        <w:t xml:space="preserve">Microcystis </w:t>
      </w:r>
      <w:proofErr w:type="spellStart"/>
      <w:r w:rsidRPr="00FE6F76">
        <w:rPr>
          <w:rFonts w:ascii="Times New Roman" w:eastAsia="Times New Roman" w:hAnsi="Times New Roman" w:cs="Times New Roman"/>
          <w:i/>
          <w:iCs/>
          <w:sz w:val="24"/>
          <w:szCs w:val="24"/>
          <w:lang w:val="en-US" w:eastAsia="ru-RU"/>
        </w:rPr>
        <w:t>perdita</w:t>
      </w:r>
      <w:proofErr w:type="spellEnd"/>
      <w:r w:rsidRPr="00FE6F76">
        <w:rPr>
          <w:rFonts w:ascii="Times New Roman" w:eastAsia="Times New Roman" w:hAnsi="Times New Roman" w:cs="Times New Roman"/>
          <w:sz w:val="24"/>
          <w:szCs w:val="24"/>
          <w:lang w:val="en-US" w:eastAsia="ru-RU"/>
        </w:rPr>
        <w:t xml:space="preserve">, </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 xml:space="preserve">Climatic and ecological history of the Loess Plateau from </w:t>
      </w:r>
      <w:r w:rsidRPr="00FE6F76">
        <w:rPr>
          <w:rFonts w:ascii="Cambria Math" w:eastAsia="Times New Roman" w:hAnsi="Cambria Math" w:cs="Cambria Math"/>
          <w:b/>
          <w:bCs/>
          <w:sz w:val="36"/>
          <w:szCs w:val="36"/>
          <w:lang w:val="en-US" w:eastAsia="ru-RU"/>
        </w:rPr>
        <w:t>∼</w:t>
      </w:r>
      <w:r w:rsidRPr="00FE6F76">
        <w:rPr>
          <w:rFonts w:ascii="Times New Roman" w:eastAsia="Times New Roman" w:hAnsi="Times New Roman" w:cs="Times New Roman"/>
          <w:b/>
          <w:bCs/>
          <w:sz w:val="36"/>
          <w:szCs w:val="36"/>
          <w:lang w:val="en-US" w:eastAsia="ru-RU"/>
        </w:rPr>
        <w:t>6.2–2.4 Ma</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The variations in Red Clay molluscan assemblages provide information on paleoenvironmental changes in the Loess Plateau during the late Miocene to Pliocene. Four major significant changes </w:t>
      </w:r>
      <w:r w:rsidRPr="00FE6F76">
        <w:rPr>
          <w:rFonts w:ascii="Times New Roman" w:eastAsia="Times New Roman" w:hAnsi="Times New Roman" w:cs="Times New Roman"/>
          <w:sz w:val="24"/>
          <w:szCs w:val="24"/>
          <w:lang w:val="en-US" w:eastAsia="ru-RU"/>
        </w:rPr>
        <w:lastRenderedPageBreak/>
        <w:t>in molluscan associations indicate the processes of ecological succession and climatic change from the late Miocene to the onset of the Quaternary.</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Firstly, from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xml:space="preserve"> 6.2 to </w:t>
      </w:r>
      <w:r w:rsidRPr="00FE6F76">
        <w:rPr>
          <w:rFonts w:ascii="Cambria Math" w:eastAsia="Times New Roman" w:hAnsi="Cambria Math" w:cs="Cambria Math"/>
          <w:sz w:val="24"/>
          <w:szCs w:val="24"/>
          <w:lang w:val="en-US" w:eastAsia="ru-RU"/>
        </w:rPr>
        <w:t>∼</w:t>
      </w:r>
      <w:r w:rsidRPr="00FE6F76">
        <w:rPr>
          <w:rFonts w:ascii="Times New Roman" w:eastAsia="Times New Roman" w:hAnsi="Times New Roman" w:cs="Times New Roman"/>
          <w:sz w:val="24"/>
          <w:szCs w:val="24"/>
          <w:lang w:val="en-US" w:eastAsia="ru-RU"/>
        </w:rPr>
        <w:t> 5.4 Ma, the molluscan fauna was dominated by relatively abundant cold-</w:t>
      </w:r>
      <w:proofErr w:type="spellStart"/>
      <w:r w:rsidRPr="00FE6F76">
        <w:rPr>
          <w:rFonts w:ascii="Times New Roman" w:eastAsia="Times New Roman" w:hAnsi="Times New Roman" w:cs="Times New Roman"/>
          <w:sz w:val="24"/>
          <w:szCs w:val="24"/>
          <w:lang w:val="en-US" w:eastAsia="ru-RU"/>
        </w:rPr>
        <w:t>aridiphilous</w:t>
      </w:r>
      <w:proofErr w:type="spellEnd"/>
      <w:r w:rsidRPr="00FE6F76">
        <w:rPr>
          <w:rFonts w:ascii="Times New Roman" w:eastAsia="Times New Roman" w:hAnsi="Times New Roman" w:cs="Times New Roman"/>
          <w:sz w:val="24"/>
          <w:szCs w:val="24"/>
          <w:lang w:val="en-US" w:eastAsia="ru-RU"/>
        </w:rPr>
        <w:t xml:space="preserve"> taxa such as species of </w:t>
      </w:r>
      <w:proofErr w:type="spellStart"/>
      <w:r w:rsidRPr="00FE6F76">
        <w:rPr>
          <w:rFonts w:ascii="Times New Roman" w:eastAsia="Times New Roman" w:hAnsi="Times New Roman" w:cs="Times New Roman"/>
          <w:i/>
          <w:iCs/>
          <w:sz w:val="24"/>
          <w:szCs w:val="24"/>
          <w:lang w:val="en-US" w:eastAsia="ru-RU"/>
        </w:rPr>
        <w:t>Cathaica</w:t>
      </w:r>
      <w:proofErr w:type="spellEnd"/>
      <w:r w:rsidRPr="00FE6F76">
        <w:rPr>
          <w:rFonts w:ascii="Times New Roman" w:eastAsia="Times New Roman" w:hAnsi="Times New Roman" w:cs="Times New Roman"/>
          <w:sz w:val="24"/>
          <w:szCs w:val="24"/>
          <w:lang w:val="en-US" w:eastAsia="ru-RU"/>
        </w:rPr>
        <w:t>, an analogous Quaternary</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Conclusion</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Our study of mollusks in the </w:t>
      </w:r>
      <w:proofErr w:type="spellStart"/>
      <w:r w:rsidRPr="00FE6F76">
        <w:rPr>
          <w:rFonts w:ascii="Times New Roman" w:eastAsia="Times New Roman" w:hAnsi="Times New Roman" w:cs="Times New Roman"/>
          <w:sz w:val="24"/>
          <w:szCs w:val="24"/>
          <w:lang w:val="en-US" w:eastAsia="ru-RU"/>
        </w:rPr>
        <w:t>Xifeng</w:t>
      </w:r>
      <w:proofErr w:type="spellEnd"/>
      <w:r w:rsidRPr="00FE6F76">
        <w:rPr>
          <w:rFonts w:ascii="Times New Roman" w:eastAsia="Times New Roman" w:hAnsi="Times New Roman" w:cs="Times New Roman"/>
          <w:sz w:val="24"/>
          <w:szCs w:val="24"/>
          <w:lang w:val="en-US" w:eastAsia="ru-RU"/>
        </w:rPr>
        <w:t xml:space="preserve"> Red Clay sequence provides a continuous terrestrial biological record of the late Miocene and Pliocene time. The high similarity in molluscan composition between the late Miocene–Pliocene Red Clay Formation and the overlying Quaternary loess–paleosol sequence shows that there has been continuous and consistent deposition during the past 6.2 Ma, which was confirmed also by previous comparative studies on physical and chemical properties (Ding et al., 2001, Guo </w:t>
      </w:r>
    </w:p>
    <w:p w:rsidR="00FE6F76" w:rsidRPr="00FE6F76" w:rsidRDefault="00FE6F76" w:rsidP="00FE6F7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FE6F76">
        <w:rPr>
          <w:rFonts w:ascii="Times New Roman" w:eastAsia="Times New Roman" w:hAnsi="Times New Roman" w:cs="Times New Roman"/>
          <w:b/>
          <w:bCs/>
          <w:sz w:val="36"/>
          <w:szCs w:val="36"/>
          <w:lang w:val="en-US" w:eastAsia="ru-RU"/>
        </w:rPr>
        <w:t>Acknowledgements</w:t>
      </w:r>
    </w:p>
    <w:p w:rsidR="00FE6F76" w:rsidRPr="00FE6F76" w:rsidRDefault="00FE6F76" w:rsidP="00FE6F76">
      <w:pPr>
        <w:spacing w:after="0" w:line="240" w:lineRule="auto"/>
        <w:rPr>
          <w:rFonts w:ascii="Times New Roman" w:eastAsia="Times New Roman" w:hAnsi="Times New Roman" w:cs="Times New Roman"/>
          <w:sz w:val="24"/>
          <w:szCs w:val="24"/>
          <w:lang w:val="en-US" w:eastAsia="ru-RU"/>
        </w:rPr>
      </w:pPr>
      <w:r w:rsidRPr="00FE6F76">
        <w:rPr>
          <w:rFonts w:ascii="Times New Roman" w:eastAsia="Times New Roman" w:hAnsi="Times New Roman" w:cs="Times New Roman"/>
          <w:sz w:val="24"/>
          <w:szCs w:val="24"/>
          <w:lang w:val="en-US" w:eastAsia="ru-RU"/>
        </w:rPr>
        <w:t xml:space="preserve">We thank Wang Luo and Peng </w:t>
      </w:r>
      <w:proofErr w:type="spellStart"/>
      <w:r w:rsidRPr="00FE6F76">
        <w:rPr>
          <w:rFonts w:ascii="Times New Roman" w:eastAsia="Times New Roman" w:hAnsi="Times New Roman" w:cs="Times New Roman"/>
          <w:sz w:val="24"/>
          <w:szCs w:val="24"/>
          <w:lang w:val="en-US" w:eastAsia="ru-RU"/>
        </w:rPr>
        <w:t>Shuzhen</w:t>
      </w:r>
      <w:proofErr w:type="spellEnd"/>
      <w:r w:rsidRPr="00FE6F76">
        <w:rPr>
          <w:rFonts w:ascii="Times New Roman" w:eastAsia="Times New Roman" w:hAnsi="Times New Roman" w:cs="Times New Roman"/>
          <w:sz w:val="24"/>
          <w:szCs w:val="24"/>
          <w:lang w:val="en-US" w:eastAsia="ru-RU"/>
        </w:rPr>
        <w:t xml:space="preserve"> for their help with fieldwork, and Gu </w:t>
      </w:r>
      <w:proofErr w:type="spellStart"/>
      <w:r w:rsidRPr="00FE6F76">
        <w:rPr>
          <w:rFonts w:ascii="Times New Roman" w:eastAsia="Times New Roman" w:hAnsi="Times New Roman" w:cs="Times New Roman"/>
          <w:sz w:val="24"/>
          <w:szCs w:val="24"/>
          <w:lang w:val="en-US" w:eastAsia="ru-RU"/>
        </w:rPr>
        <w:t>Zhaoyan</w:t>
      </w:r>
      <w:proofErr w:type="spellEnd"/>
      <w:r w:rsidRPr="00FE6F76">
        <w:rPr>
          <w:rFonts w:ascii="Times New Roman" w:eastAsia="Times New Roman" w:hAnsi="Times New Roman" w:cs="Times New Roman"/>
          <w:sz w:val="24"/>
          <w:szCs w:val="24"/>
          <w:lang w:val="en-US" w:eastAsia="ru-RU"/>
        </w:rPr>
        <w:t xml:space="preserve">, Han </w:t>
      </w:r>
      <w:proofErr w:type="spellStart"/>
      <w:r w:rsidRPr="00FE6F76">
        <w:rPr>
          <w:rFonts w:ascii="Times New Roman" w:eastAsia="Times New Roman" w:hAnsi="Times New Roman" w:cs="Times New Roman"/>
          <w:sz w:val="24"/>
          <w:szCs w:val="24"/>
          <w:lang w:val="en-US" w:eastAsia="ru-RU"/>
        </w:rPr>
        <w:t>Jingtai</w:t>
      </w:r>
      <w:proofErr w:type="spellEnd"/>
      <w:r w:rsidRPr="00FE6F76">
        <w:rPr>
          <w:rFonts w:ascii="Times New Roman" w:eastAsia="Times New Roman" w:hAnsi="Times New Roman" w:cs="Times New Roman"/>
          <w:sz w:val="24"/>
          <w:szCs w:val="24"/>
          <w:lang w:val="en-US" w:eastAsia="ru-RU"/>
        </w:rPr>
        <w:t xml:space="preserve">, and Jiang </w:t>
      </w:r>
      <w:proofErr w:type="spellStart"/>
      <w:r w:rsidRPr="00FE6F76">
        <w:rPr>
          <w:rFonts w:ascii="Times New Roman" w:eastAsia="Times New Roman" w:hAnsi="Times New Roman" w:cs="Times New Roman"/>
          <w:sz w:val="24"/>
          <w:szCs w:val="24"/>
          <w:lang w:val="en-US" w:eastAsia="ru-RU"/>
        </w:rPr>
        <w:t>Wenying</w:t>
      </w:r>
      <w:proofErr w:type="spellEnd"/>
      <w:r w:rsidRPr="00FE6F76">
        <w:rPr>
          <w:rFonts w:ascii="Times New Roman" w:eastAsia="Times New Roman" w:hAnsi="Times New Roman" w:cs="Times New Roman"/>
          <w:sz w:val="24"/>
          <w:szCs w:val="24"/>
          <w:lang w:val="en-US" w:eastAsia="ru-RU"/>
        </w:rPr>
        <w:t xml:space="preserve"> for their valuable suggestions and helpful discussions. The paper has benefited from careful reviews by Alan </w:t>
      </w:r>
      <w:proofErr w:type="spellStart"/>
      <w:r w:rsidRPr="00FE6F76">
        <w:rPr>
          <w:rFonts w:ascii="Times New Roman" w:eastAsia="Times New Roman" w:hAnsi="Times New Roman" w:cs="Times New Roman"/>
          <w:sz w:val="24"/>
          <w:szCs w:val="24"/>
          <w:lang w:val="en-US" w:eastAsia="ru-RU"/>
        </w:rPr>
        <w:t>Beu</w:t>
      </w:r>
      <w:proofErr w:type="spellEnd"/>
      <w:r w:rsidRPr="00FE6F76">
        <w:rPr>
          <w:rFonts w:ascii="Times New Roman" w:eastAsia="Times New Roman" w:hAnsi="Times New Roman" w:cs="Times New Roman"/>
          <w:sz w:val="24"/>
          <w:szCs w:val="24"/>
          <w:lang w:val="en-US" w:eastAsia="ru-RU"/>
        </w:rPr>
        <w:t xml:space="preserve"> and Denis-Didier Rousseau. Their thoughts and comments were most helpful. Special thanks to Kam-</w:t>
      </w:r>
      <w:proofErr w:type="spellStart"/>
      <w:r w:rsidRPr="00FE6F76">
        <w:rPr>
          <w:rFonts w:ascii="Times New Roman" w:eastAsia="Times New Roman" w:hAnsi="Times New Roman" w:cs="Times New Roman"/>
          <w:sz w:val="24"/>
          <w:szCs w:val="24"/>
          <w:lang w:val="en-US" w:eastAsia="ru-RU"/>
        </w:rPr>
        <w:t>biu</w:t>
      </w:r>
      <w:proofErr w:type="spellEnd"/>
      <w:r w:rsidRPr="00FE6F76">
        <w:rPr>
          <w:rFonts w:ascii="Times New Roman" w:eastAsia="Times New Roman" w:hAnsi="Times New Roman" w:cs="Times New Roman"/>
          <w:sz w:val="24"/>
          <w:szCs w:val="24"/>
          <w:lang w:val="en-US" w:eastAsia="ru-RU"/>
        </w:rPr>
        <w:t xml:space="preserve"> Liu for helpful remarks and language correction. This research was supported by the Chinese Academy of Sciences (grants KZCX3-SW-139 and KZCX2-SW-133) and the National</w:t>
      </w:r>
    </w:p>
    <w:p w:rsidR="00C040C5" w:rsidRPr="00FE6F76" w:rsidRDefault="00C040C5">
      <w:pPr>
        <w:rPr>
          <w:lang w:val="en-US"/>
        </w:rPr>
      </w:pPr>
    </w:p>
    <w:sectPr w:rsidR="00C040C5" w:rsidRPr="00FE6F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F76"/>
    <w:rsid w:val="00C040C5"/>
    <w:rsid w:val="00FE6F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C59731-F809-4B17-B222-E66EC8427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FE6F7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FE6F7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E6F7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FE6F76"/>
    <w:rPr>
      <w:rFonts w:ascii="Times New Roman" w:eastAsia="Times New Roman" w:hAnsi="Times New Roman" w:cs="Times New Roman"/>
      <w:b/>
      <w:bCs/>
      <w:sz w:val="36"/>
      <w:szCs w:val="36"/>
      <w:lang w:eastAsia="ru-RU"/>
    </w:rPr>
  </w:style>
  <w:style w:type="character" w:customStyle="1" w:styleId="title-text">
    <w:name w:val="title-text"/>
    <w:basedOn w:val="a0"/>
    <w:rsid w:val="00FE6F76"/>
  </w:style>
  <w:style w:type="character" w:customStyle="1" w:styleId="sr-only">
    <w:name w:val="sr-only"/>
    <w:basedOn w:val="a0"/>
    <w:rsid w:val="00FE6F76"/>
  </w:style>
  <w:style w:type="character" w:customStyle="1" w:styleId="button-link-text">
    <w:name w:val="button-link-text"/>
    <w:basedOn w:val="a0"/>
    <w:rsid w:val="00FE6F76"/>
  </w:style>
  <w:style w:type="character" w:customStyle="1" w:styleId="react-xocs-alternative-link">
    <w:name w:val="react-xocs-alternative-link"/>
    <w:basedOn w:val="a0"/>
    <w:rsid w:val="00FE6F76"/>
  </w:style>
  <w:style w:type="character" w:customStyle="1" w:styleId="given-name">
    <w:name w:val="given-name"/>
    <w:basedOn w:val="a0"/>
    <w:rsid w:val="00FE6F76"/>
  </w:style>
  <w:style w:type="character" w:customStyle="1" w:styleId="text">
    <w:name w:val="text"/>
    <w:basedOn w:val="a0"/>
    <w:rsid w:val="00FE6F76"/>
  </w:style>
  <w:style w:type="character" w:customStyle="1" w:styleId="author-ref">
    <w:name w:val="author-ref"/>
    <w:basedOn w:val="a0"/>
    <w:rsid w:val="00FE6F76"/>
  </w:style>
  <w:style w:type="character" w:styleId="a3">
    <w:name w:val="Hyperlink"/>
    <w:basedOn w:val="a0"/>
    <w:uiPriority w:val="99"/>
    <w:semiHidden/>
    <w:unhideWhenUsed/>
    <w:rsid w:val="00FE6F76"/>
    <w:rPr>
      <w:color w:val="0000FF"/>
      <w:u w:val="single"/>
    </w:rPr>
  </w:style>
  <w:style w:type="character" w:customStyle="1" w:styleId="anchor-text">
    <w:name w:val="anchor-text"/>
    <w:basedOn w:val="a0"/>
    <w:rsid w:val="00FE6F76"/>
  </w:style>
  <w:style w:type="character" w:styleId="a4">
    <w:name w:val="Emphasis"/>
    <w:basedOn w:val="a0"/>
    <w:uiPriority w:val="20"/>
    <w:qFormat/>
    <w:rsid w:val="00FE6F7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1062022">
      <w:bodyDiv w:val="1"/>
      <w:marLeft w:val="0"/>
      <w:marRight w:val="0"/>
      <w:marTop w:val="0"/>
      <w:marBottom w:val="0"/>
      <w:divBdr>
        <w:top w:val="none" w:sz="0" w:space="0" w:color="auto"/>
        <w:left w:val="none" w:sz="0" w:space="0" w:color="auto"/>
        <w:bottom w:val="none" w:sz="0" w:space="0" w:color="auto"/>
        <w:right w:val="none" w:sz="0" w:space="0" w:color="auto"/>
      </w:divBdr>
      <w:divsChild>
        <w:div w:id="336881608">
          <w:marLeft w:val="0"/>
          <w:marRight w:val="0"/>
          <w:marTop w:val="0"/>
          <w:marBottom w:val="0"/>
          <w:divBdr>
            <w:top w:val="none" w:sz="0" w:space="0" w:color="auto"/>
            <w:left w:val="none" w:sz="0" w:space="0" w:color="auto"/>
            <w:bottom w:val="none" w:sz="0" w:space="0" w:color="auto"/>
            <w:right w:val="none" w:sz="0" w:space="0" w:color="auto"/>
          </w:divBdr>
          <w:divsChild>
            <w:div w:id="514199283">
              <w:marLeft w:val="0"/>
              <w:marRight w:val="0"/>
              <w:marTop w:val="0"/>
              <w:marBottom w:val="0"/>
              <w:divBdr>
                <w:top w:val="none" w:sz="0" w:space="0" w:color="auto"/>
                <w:left w:val="none" w:sz="0" w:space="0" w:color="auto"/>
                <w:bottom w:val="none" w:sz="0" w:space="0" w:color="auto"/>
                <w:right w:val="none" w:sz="0" w:space="0" w:color="auto"/>
              </w:divBdr>
              <w:divsChild>
                <w:div w:id="1670718534">
                  <w:marLeft w:val="0"/>
                  <w:marRight w:val="0"/>
                  <w:marTop w:val="0"/>
                  <w:marBottom w:val="0"/>
                  <w:divBdr>
                    <w:top w:val="none" w:sz="0" w:space="0" w:color="auto"/>
                    <w:left w:val="none" w:sz="0" w:space="0" w:color="auto"/>
                    <w:bottom w:val="none" w:sz="0" w:space="0" w:color="auto"/>
                    <w:right w:val="none" w:sz="0" w:space="0" w:color="auto"/>
                  </w:divBdr>
                  <w:divsChild>
                    <w:div w:id="108685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559488">
          <w:marLeft w:val="0"/>
          <w:marRight w:val="0"/>
          <w:marTop w:val="0"/>
          <w:marBottom w:val="0"/>
          <w:divBdr>
            <w:top w:val="none" w:sz="0" w:space="0" w:color="auto"/>
            <w:left w:val="none" w:sz="0" w:space="0" w:color="auto"/>
            <w:bottom w:val="none" w:sz="0" w:space="0" w:color="auto"/>
            <w:right w:val="none" w:sz="0" w:space="0" w:color="auto"/>
          </w:divBdr>
          <w:divsChild>
            <w:div w:id="17971076">
              <w:marLeft w:val="0"/>
              <w:marRight w:val="0"/>
              <w:marTop w:val="0"/>
              <w:marBottom w:val="0"/>
              <w:divBdr>
                <w:top w:val="none" w:sz="0" w:space="0" w:color="auto"/>
                <w:left w:val="none" w:sz="0" w:space="0" w:color="auto"/>
                <w:bottom w:val="none" w:sz="0" w:space="0" w:color="auto"/>
                <w:right w:val="none" w:sz="0" w:space="0" w:color="auto"/>
              </w:divBdr>
              <w:divsChild>
                <w:div w:id="205130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144529">
          <w:marLeft w:val="0"/>
          <w:marRight w:val="0"/>
          <w:marTop w:val="0"/>
          <w:marBottom w:val="0"/>
          <w:divBdr>
            <w:top w:val="none" w:sz="0" w:space="0" w:color="auto"/>
            <w:left w:val="none" w:sz="0" w:space="0" w:color="auto"/>
            <w:bottom w:val="none" w:sz="0" w:space="0" w:color="auto"/>
            <w:right w:val="none" w:sz="0" w:space="0" w:color="auto"/>
          </w:divBdr>
          <w:divsChild>
            <w:div w:id="374473107">
              <w:marLeft w:val="0"/>
              <w:marRight w:val="0"/>
              <w:marTop w:val="0"/>
              <w:marBottom w:val="0"/>
              <w:divBdr>
                <w:top w:val="none" w:sz="0" w:space="0" w:color="auto"/>
                <w:left w:val="none" w:sz="0" w:space="0" w:color="auto"/>
                <w:bottom w:val="none" w:sz="0" w:space="0" w:color="auto"/>
                <w:right w:val="none" w:sz="0" w:space="0" w:color="auto"/>
              </w:divBdr>
              <w:divsChild>
                <w:div w:id="94820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074004">
          <w:marLeft w:val="0"/>
          <w:marRight w:val="0"/>
          <w:marTop w:val="0"/>
          <w:marBottom w:val="0"/>
          <w:divBdr>
            <w:top w:val="none" w:sz="0" w:space="0" w:color="auto"/>
            <w:left w:val="none" w:sz="0" w:space="0" w:color="auto"/>
            <w:bottom w:val="none" w:sz="0" w:space="0" w:color="auto"/>
            <w:right w:val="none" w:sz="0" w:space="0" w:color="auto"/>
          </w:divBdr>
          <w:divsChild>
            <w:div w:id="848980972">
              <w:marLeft w:val="0"/>
              <w:marRight w:val="0"/>
              <w:marTop w:val="0"/>
              <w:marBottom w:val="0"/>
              <w:divBdr>
                <w:top w:val="none" w:sz="0" w:space="0" w:color="auto"/>
                <w:left w:val="none" w:sz="0" w:space="0" w:color="auto"/>
                <w:bottom w:val="none" w:sz="0" w:space="0" w:color="auto"/>
                <w:right w:val="none" w:sz="0" w:space="0" w:color="auto"/>
              </w:divBdr>
              <w:divsChild>
                <w:div w:id="1237469444">
                  <w:marLeft w:val="0"/>
                  <w:marRight w:val="0"/>
                  <w:marTop w:val="0"/>
                  <w:marBottom w:val="0"/>
                  <w:divBdr>
                    <w:top w:val="none" w:sz="0" w:space="0" w:color="auto"/>
                    <w:left w:val="none" w:sz="0" w:space="0" w:color="auto"/>
                    <w:bottom w:val="none" w:sz="0" w:space="0" w:color="auto"/>
                    <w:right w:val="none" w:sz="0" w:space="0" w:color="auto"/>
                  </w:divBdr>
                  <w:divsChild>
                    <w:div w:id="277033669">
                      <w:marLeft w:val="0"/>
                      <w:marRight w:val="0"/>
                      <w:marTop w:val="0"/>
                      <w:marBottom w:val="0"/>
                      <w:divBdr>
                        <w:top w:val="none" w:sz="0" w:space="0" w:color="auto"/>
                        <w:left w:val="none" w:sz="0" w:space="0" w:color="auto"/>
                        <w:bottom w:val="none" w:sz="0" w:space="0" w:color="auto"/>
                        <w:right w:val="none" w:sz="0" w:space="0" w:color="auto"/>
                      </w:divBdr>
                      <w:divsChild>
                        <w:div w:id="125285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871753">
          <w:marLeft w:val="0"/>
          <w:marRight w:val="0"/>
          <w:marTop w:val="0"/>
          <w:marBottom w:val="0"/>
          <w:divBdr>
            <w:top w:val="none" w:sz="0" w:space="0" w:color="auto"/>
            <w:left w:val="none" w:sz="0" w:space="0" w:color="auto"/>
            <w:bottom w:val="none" w:sz="0" w:space="0" w:color="auto"/>
            <w:right w:val="none" w:sz="0" w:space="0" w:color="auto"/>
          </w:divBdr>
        </w:div>
        <w:div w:id="1723868806">
          <w:marLeft w:val="0"/>
          <w:marRight w:val="0"/>
          <w:marTop w:val="0"/>
          <w:marBottom w:val="0"/>
          <w:divBdr>
            <w:top w:val="none" w:sz="0" w:space="0" w:color="auto"/>
            <w:left w:val="none" w:sz="0" w:space="0" w:color="auto"/>
            <w:bottom w:val="none" w:sz="0" w:space="0" w:color="auto"/>
            <w:right w:val="none" w:sz="0" w:space="0" w:color="auto"/>
          </w:divBdr>
          <w:divsChild>
            <w:div w:id="954756610">
              <w:marLeft w:val="0"/>
              <w:marRight w:val="0"/>
              <w:marTop w:val="0"/>
              <w:marBottom w:val="0"/>
              <w:divBdr>
                <w:top w:val="none" w:sz="0" w:space="0" w:color="auto"/>
                <w:left w:val="none" w:sz="0" w:space="0" w:color="auto"/>
                <w:bottom w:val="none" w:sz="0" w:space="0" w:color="auto"/>
                <w:right w:val="none" w:sz="0" w:space="0" w:color="auto"/>
              </w:divBdr>
              <w:divsChild>
                <w:div w:id="717515568">
                  <w:marLeft w:val="0"/>
                  <w:marRight w:val="0"/>
                  <w:marTop w:val="0"/>
                  <w:marBottom w:val="0"/>
                  <w:divBdr>
                    <w:top w:val="none" w:sz="0" w:space="0" w:color="auto"/>
                    <w:left w:val="none" w:sz="0" w:space="0" w:color="auto"/>
                    <w:bottom w:val="none" w:sz="0" w:space="0" w:color="auto"/>
                    <w:right w:val="none" w:sz="0" w:space="0" w:color="auto"/>
                  </w:divBdr>
                  <w:divsChild>
                    <w:div w:id="1688559627">
                      <w:marLeft w:val="0"/>
                      <w:marRight w:val="0"/>
                      <w:marTop w:val="0"/>
                      <w:marBottom w:val="0"/>
                      <w:divBdr>
                        <w:top w:val="none" w:sz="0" w:space="0" w:color="auto"/>
                        <w:left w:val="none" w:sz="0" w:space="0" w:color="auto"/>
                        <w:bottom w:val="none" w:sz="0" w:space="0" w:color="auto"/>
                        <w:right w:val="none" w:sz="0" w:space="0" w:color="auto"/>
                      </w:divBdr>
                      <w:divsChild>
                        <w:div w:id="17087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0508958">
          <w:marLeft w:val="0"/>
          <w:marRight w:val="0"/>
          <w:marTop w:val="0"/>
          <w:marBottom w:val="0"/>
          <w:divBdr>
            <w:top w:val="none" w:sz="0" w:space="0" w:color="auto"/>
            <w:left w:val="none" w:sz="0" w:space="0" w:color="auto"/>
            <w:bottom w:val="none" w:sz="0" w:space="0" w:color="auto"/>
            <w:right w:val="none" w:sz="0" w:space="0" w:color="auto"/>
          </w:divBdr>
          <w:divsChild>
            <w:div w:id="1356005671">
              <w:marLeft w:val="0"/>
              <w:marRight w:val="0"/>
              <w:marTop w:val="0"/>
              <w:marBottom w:val="0"/>
              <w:divBdr>
                <w:top w:val="none" w:sz="0" w:space="0" w:color="auto"/>
                <w:left w:val="none" w:sz="0" w:space="0" w:color="auto"/>
                <w:bottom w:val="none" w:sz="0" w:space="0" w:color="auto"/>
                <w:right w:val="none" w:sz="0" w:space="0" w:color="auto"/>
              </w:divBdr>
              <w:divsChild>
                <w:div w:id="39286014">
                  <w:marLeft w:val="0"/>
                  <w:marRight w:val="0"/>
                  <w:marTop w:val="0"/>
                  <w:marBottom w:val="0"/>
                  <w:divBdr>
                    <w:top w:val="none" w:sz="0" w:space="0" w:color="auto"/>
                    <w:left w:val="none" w:sz="0" w:space="0" w:color="auto"/>
                    <w:bottom w:val="none" w:sz="0" w:space="0" w:color="auto"/>
                    <w:right w:val="none" w:sz="0" w:space="0" w:color="auto"/>
                  </w:divBdr>
                </w:div>
                <w:div w:id="136841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140446">
          <w:marLeft w:val="0"/>
          <w:marRight w:val="0"/>
          <w:marTop w:val="0"/>
          <w:marBottom w:val="0"/>
          <w:divBdr>
            <w:top w:val="none" w:sz="0" w:space="0" w:color="auto"/>
            <w:left w:val="none" w:sz="0" w:space="0" w:color="auto"/>
            <w:bottom w:val="none" w:sz="0" w:space="0" w:color="auto"/>
            <w:right w:val="none" w:sz="0" w:space="0" w:color="auto"/>
          </w:divBdr>
          <w:divsChild>
            <w:div w:id="1778404213">
              <w:marLeft w:val="0"/>
              <w:marRight w:val="0"/>
              <w:marTop w:val="0"/>
              <w:marBottom w:val="0"/>
              <w:divBdr>
                <w:top w:val="none" w:sz="0" w:space="0" w:color="auto"/>
                <w:left w:val="none" w:sz="0" w:space="0" w:color="auto"/>
                <w:bottom w:val="none" w:sz="0" w:space="0" w:color="auto"/>
                <w:right w:val="none" w:sz="0" w:space="0" w:color="auto"/>
              </w:divBdr>
              <w:divsChild>
                <w:div w:id="124473798">
                  <w:marLeft w:val="0"/>
                  <w:marRight w:val="0"/>
                  <w:marTop w:val="0"/>
                  <w:marBottom w:val="0"/>
                  <w:divBdr>
                    <w:top w:val="none" w:sz="0" w:space="0" w:color="auto"/>
                    <w:left w:val="none" w:sz="0" w:space="0" w:color="auto"/>
                    <w:bottom w:val="none" w:sz="0" w:space="0" w:color="auto"/>
                    <w:right w:val="none" w:sz="0" w:space="0" w:color="auto"/>
                  </w:divBdr>
                </w:div>
                <w:div w:id="876241125">
                  <w:marLeft w:val="0"/>
                  <w:marRight w:val="0"/>
                  <w:marTop w:val="0"/>
                  <w:marBottom w:val="0"/>
                  <w:divBdr>
                    <w:top w:val="none" w:sz="0" w:space="0" w:color="auto"/>
                    <w:left w:val="none" w:sz="0" w:space="0" w:color="auto"/>
                    <w:bottom w:val="none" w:sz="0" w:space="0" w:color="auto"/>
                    <w:right w:val="none" w:sz="0" w:space="0" w:color="auto"/>
                  </w:divBdr>
                </w:div>
                <w:div w:id="1475872952">
                  <w:marLeft w:val="0"/>
                  <w:marRight w:val="0"/>
                  <w:marTop w:val="0"/>
                  <w:marBottom w:val="0"/>
                  <w:divBdr>
                    <w:top w:val="none" w:sz="0" w:space="0" w:color="auto"/>
                    <w:left w:val="none" w:sz="0" w:space="0" w:color="auto"/>
                    <w:bottom w:val="none" w:sz="0" w:space="0" w:color="auto"/>
                    <w:right w:val="none" w:sz="0" w:space="0" w:color="auto"/>
                  </w:divBdr>
                </w:div>
                <w:div w:id="189998105">
                  <w:marLeft w:val="0"/>
                  <w:marRight w:val="0"/>
                  <w:marTop w:val="0"/>
                  <w:marBottom w:val="0"/>
                  <w:divBdr>
                    <w:top w:val="none" w:sz="0" w:space="0" w:color="auto"/>
                    <w:left w:val="none" w:sz="0" w:space="0" w:color="auto"/>
                    <w:bottom w:val="none" w:sz="0" w:space="0" w:color="auto"/>
                    <w:right w:val="none" w:sz="0" w:space="0" w:color="auto"/>
                  </w:divBdr>
                </w:div>
                <w:div w:id="1922443115">
                  <w:marLeft w:val="0"/>
                  <w:marRight w:val="0"/>
                  <w:marTop w:val="0"/>
                  <w:marBottom w:val="0"/>
                  <w:divBdr>
                    <w:top w:val="none" w:sz="0" w:space="0" w:color="auto"/>
                    <w:left w:val="none" w:sz="0" w:space="0" w:color="auto"/>
                    <w:bottom w:val="none" w:sz="0" w:space="0" w:color="auto"/>
                    <w:right w:val="none" w:sz="0" w:space="0" w:color="auto"/>
                  </w:divBdr>
                </w:div>
                <w:div w:id="1362130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fossil"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pliocen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agricultural-and-biological-sciences/climate-chang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fossil-assemblage" TargetMode="External"/><Relationship Id="rId10" Type="http://schemas.openxmlformats.org/officeDocument/2006/relationships/fontTable" Target="fontTable.xml"/><Relationship Id="rId4" Type="http://schemas.openxmlformats.org/officeDocument/2006/relationships/hyperlink" Target="https://doi.org/10.1016/j.palaeo.2005.10.006" TargetMode="External"/><Relationship Id="rId9" Type="http://schemas.openxmlformats.org/officeDocument/2006/relationships/hyperlink" Target="https://www.sciencedirect.com/topics/earth-and-planetary-sciences/tibetan-platea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1328</Words>
  <Characters>7575</Characters>
  <Application>Microsoft Office Word</Application>
  <DocSecurity>0</DocSecurity>
  <Lines>63</Lines>
  <Paragraphs>17</Paragraphs>
  <ScaleCrop>false</ScaleCrop>
  <Company/>
  <LinksUpToDate>false</LinksUpToDate>
  <CharactersWithSpaces>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2025-03-15T00:20:00Z</dcterms:created>
  <dcterms:modified xsi:type="dcterms:W3CDTF">2025-03-15T00:21:00Z</dcterms:modified>
</cp:coreProperties>
</file>