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4217FE" w:rsidRPr="004217FE" w:rsidRDefault="004217FE" w:rsidP="004217FE">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4217FE">
        <w:rPr>
          <w:rFonts w:ascii="Times New Roman" w:eastAsia="Times New Roman" w:hAnsi="Times New Roman" w:cs="Times New Roman"/>
          <w:b/>
          <w:bCs/>
          <w:kern w:val="36"/>
          <w:sz w:val="48"/>
          <w:szCs w:val="48"/>
        </w:rPr>
        <w:t xml:space="preserve">Coexisting goethite and gibbsite from a high-paleolatitude (55°N) Late Paleocene laterite: Concentration and </w:t>
      </w:r>
      <w:r w:rsidRPr="004217FE">
        <w:rPr>
          <w:rFonts w:ascii="Times New Roman" w:eastAsia="Times New Roman" w:hAnsi="Times New Roman" w:cs="Times New Roman"/>
          <w:b/>
          <w:bCs/>
          <w:kern w:val="36"/>
          <w:sz w:val="48"/>
          <w:szCs w:val="48"/>
          <w:vertAlign w:val="superscript"/>
        </w:rPr>
        <w:t>13</w:t>
      </w:r>
      <w:r w:rsidRPr="004217FE">
        <w:rPr>
          <w:rFonts w:ascii="Times New Roman" w:eastAsia="Times New Roman" w:hAnsi="Times New Roman" w:cs="Times New Roman"/>
          <w:b/>
          <w:bCs/>
          <w:kern w:val="36"/>
          <w:sz w:val="48"/>
          <w:szCs w:val="48"/>
        </w:rPr>
        <w:t>C/</w:t>
      </w:r>
      <w:r w:rsidRPr="004217FE">
        <w:rPr>
          <w:rFonts w:ascii="Times New Roman" w:eastAsia="Times New Roman" w:hAnsi="Times New Roman" w:cs="Times New Roman"/>
          <w:b/>
          <w:bCs/>
          <w:kern w:val="36"/>
          <w:sz w:val="48"/>
          <w:szCs w:val="48"/>
          <w:vertAlign w:val="superscript"/>
        </w:rPr>
        <w:t>12</w:t>
      </w:r>
      <w:r w:rsidRPr="004217FE">
        <w:rPr>
          <w:rFonts w:ascii="Times New Roman" w:eastAsia="Times New Roman" w:hAnsi="Times New Roman" w:cs="Times New Roman"/>
          <w:b/>
          <w:bCs/>
          <w:kern w:val="36"/>
          <w:sz w:val="48"/>
          <w:szCs w:val="48"/>
        </w:rPr>
        <w:t>C ratios of occluded CO</w:t>
      </w:r>
      <w:r w:rsidRPr="004217FE">
        <w:rPr>
          <w:rFonts w:ascii="Times New Roman" w:eastAsia="Times New Roman" w:hAnsi="Times New Roman" w:cs="Times New Roman"/>
          <w:b/>
          <w:bCs/>
          <w:kern w:val="36"/>
          <w:sz w:val="48"/>
          <w:szCs w:val="48"/>
          <w:vertAlign w:val="subscript"/>
        </w:rPr>
        <w:t>2</w:t>
      </w:r>
      <w:r w:rsidRPr="004217FE">
        <w:rPr>
          <w:rFonts w:ascii="Times New Roman" w:eastAsia="Times New Roman" w:hAnsi="Times New Roman" w:cs="Times New Roman"/>
          <w:b/>
          <w:bCs/>
          <w:kern w:val="36"/>
          <w:sz w:val="48"/>
          <w:szCs w:val="48"/>
        </w:rPr>
        <w:t xml:space="preserve"> and associated organic matter</w:t>
      </w:r>
    </w:p>
    <w:p w:rsidR="004217FE" w:rsidRPr="004217FE" w:rsidRDefault="004217FE" w:rsidP="004217FE">
      <w:pPr>
        <w:spacing w:after="0" w:line="240" w:lineRule="auto"/>
        <w:rPr>
          <w:rFonts w:ascii="Times New Roman" w:eastAsia="Times New Roman" w:hAnsi="Times New Roman" w:cs="Times New Roman"/>
          <w:sz w:val="24"/>
          <w:szCs w:val="24"/>
        </w:rPr>
      </w:pPr>
      <w:r w:rsidRPr="004217FE">
        <w:rPr>
          <w:rFonts w:ascii="Times New Roman" w:eastAsia="Times New Roman" w:hAnsi="Times New Roman" w:cs="Times New Roman"/>
          <w:sz w:val="24"/>
          <w:szCs w:val="24"/>
        </w:rPr>
        <w:t>Author links open overlay panel</w:t>
      </w:r>
    </w:p>
    <w:p w:rsidR="004217FE" w:rsidRPr="004217FE" w:rsidRDefault="004217FE" w:rsidP="004217FE">
      <w:pPr>
        <w:spacing w:after="0" w:line="240" w:lineRule="auto"/>
        <w:rPr>
          <w:rFonts w:ascii="Times New Roman" w:eastAsia="Times New Roman" w:hAnsi="Times New Roman" w:cs="Times New Roman"/>
          <w:sz w:val="24"/>
          <w:szCs w:val="24"/>
        </w:rPr>
      </w:pPr>
      <w:r w:rsidRPr="004217FE">
        <w:rPr>
          <w:rFonts w:ascii="Times New Roman" w:eastAsia="Times New Roman" w:hAnsi="Times New Roman" w:cs="Times New Roman"/>
          <w:sz w:val="24"/>
          <w:szCs w:val="24"/>
        </w:rPr>
        <w:t xml:space="preserve">, </w:t>
      </w:r>
    </w:p>
    <w:p w:rsidR="004217FE" w:rsidRPr="004217FE" w:rsidRDefault="004217FE" w:rsidP="004217FE">
      <w:pPr>
        <w:spacing w:after="0" w:line="240" w:lineRule="auto"/>
        <w:rPr>
          <w:rFonts w:ascii="Times New Roman" w:eastAsia="Times New Roman" w:hAnsi="Times New Roman" w:cs="Times New Roman"/>
          <w:sz w:val="24"/>
          <w:szCs w:val="24"/>
        </w:rPr>
      </w:pPr>
      <w:hyperlink r:id="rId4" w:tgtFrame="_blank" w:tooltip="Persistent link using digital object identifier" w:history="1">
        <w:r w:rsidRPr="004217FE">
          <w:rPr>
            <w:rFonts w:ascii="Times New Roman" w:eastAsia="Times New Roman" w:hAnsi="Times New Roman" w:cs="Times New Roman"/>
            <w:color w:val="0000FF"/>
            <w:sz w:val="24"/>
            <w:szCs w:val="24"/>
            <w:u w:val="single"/>
          </w:rPr>
          <w:t>https://doi.org/10.1016/j.gca.2005.07.017</w:t>
        </w:r>
      </w:hyperlink>
      <w:bookmarkStart w:id="0" w:name="_GoBack"/>
      <w:bookmarkEnd w:id="0"/>
      <w:r w:rsidRPr="004217FE">
        <w:rPr>
          <w:rFonts w:ascii="Times New Roman" w:eastAsia="Times New Roman" w:hAnsi="Times New Roman" w:cs="Times New Roman"/>
          <w:sz w:val="24"/>
          <w:szCs w:val="24"/>
        </w:rPr>
        <w:t xml:space="preserve"> </w:t>
      </w:r>
    </w:p>
    <w:p w:rsidR="004217FE" w:rsidRPr="004217FE" w:rsidRDefault="004217FE" w:rsidP="004217FE">
      <w:pPr>
        <w:spacing w:before="100" w:beforeAutospacing="1" w:after="100" w:afterAutospacing="1" w:line="240" w:lineRule="auto"/>
        <w:outlineLvl w:val="1"/>
        <w:rPr>
          <w:rFonts w:ascii="Times New Roman" w:eastAsia="Times New Roman" w:hAnsi="Times New Roman" w:cs="Times New Roman"/>
          <w:b/>
          <w:bCs/>
          <w:sz w:val="36"/>
          <w:szCs w:val="36"/>
        </w:rPr>
      </w:pPr>
      <w:r w:rsidRPr="004217FE">
        <w:rPr>
          <w:rFonts w:ascii="Times New Roman" w:eastAsia="Times New Roman" w:hAnsi="Times New Roman" w:cs="Times New Roman"/>
          <w:b/>
          <w:bCs/>
          <w:sz w:val="36"/>
          <w:szCs w:val="36"/>
        </w:rPr>
        <w:t>Abstract</w:t>
      </w:r>
    </w:p>
    <w:p w:rsidR="004217FE" w:rsidRPr="004217FE" w:rsidRDefault="004217FE" w:rsidP="004217FE">
      <w:pPr>
        <w:spacing w:before="100" w:beforeAutospacing="1" w:after="100" w:afterAutospacing="1" w:line="240" w:lineRule="auto"/>
        <w:rPr>
          <w:rFonts w:ascii="Times New Roman" w:eastAsia="Times New Roman" w:hAnsi="Times New Roman" w:cs="Times New Roman"/>
          <w:sz w:val="24"/>
          <w:szCs w:val="24"/>
        </w:rPr>
      </w:pPr>
      <w:r w:rsidRPr="004217FE">
        <w:rPr>
          <w:rFonts w:ascii="Times New Roman" w:eastAsia="Times New Roman" w:hAnsi="Times New Roman" w:cs="Times New Roman"/>
          <w:sz w:val="24"/>
          <w:szCs w:val="24"/>
        </w:rPr>
        <w:t>A Late Paleocene (</w:t>
      </w:r>
      <w:r w:rsidRPr="004217FE">
        <w:rPr>
          <w:rFonts w:ascii="Cambria Math" w:eastAsia="Times New Roman" w:hAnsi="Cambria Math" w:cs="Cambria Math"/>
          <w:sz w:val="24"/>
          <w:szCs w:val="24"/>
        </w:rPr>
        <w:t>∼</w:t>
      </w:r>
      <w:r w:rsidRPr="004217FE">
        <w:rPr>
          <w:rFonts w:ascii="Times New Roman" w:eastAsia="Times New Roman" w:hAnsi="Times New Roman" w:cs="Times New Roman"/>
          <w:sz w:val="24"/>
          <w:szCs w:val="24"/>
        </w:rPr>
        <w:t xml:space="preserve">60 Ma BP) lateritic soil from Northern Ireland (the Antrim </w:t>
      </w:r>
      <w:hyperlink r:id="rId5" w:tooltip="Learn more about paleosol from ScienceDirect's AI-generated Topic Pages" w:history="1">
        <w:r w:rsidRPr="004217FE">
          <w:rPr>
            <w:rFonts w:ascii="Times New Roman" w:eastAsia="Times New Roman" w:hAnsi="Times New Roman" w:cs="Times New Roman"/>
            <w:color w:val="0000FF"/>
            <w:sz w:val="24"/>
            <w:szCs w:val="24"/>
            <w:u w:val="single"/>
          </w:rPr>
          <w:t>paleosol</w:t>
        </w:r>
      </w:hyperlink>
      <w:r w:rsidRPr="004217FE">
        <w:rPr>
          <w:rFonts w:ascii="Times New Roman" w:eastAsia="Times New Roman" w:hAnsi="Times New Roman" w:cs="Times New Roman"/>
          <w:sz w:val="24"/>
          <w:szCs w:val="24"/>
        </w:rPr>
        <w:t xml:space="preserve">, herein referred to as </w:t>
      </w:r>
      <w:proofErr w:type="spellStart"/>
      <w:r w:rsidRPr="004217FE">
        <w:rPr>
          <w:rFonts w:ascii="Times New Roman" w:eastAsia="Times New Roman" w:hAnsi="Times New Roman" w:cs="Times New Roman"/>
          <w:sz w:val="24"/>
          <w:szCs w:val="24"/>
        </w:rPr>
        <w:t>Nire</w:t>
      </w:r>
      <w:proofErr w:type="spellEnd"/>
      <w:r w:rsidRPr="004217FE">
        <w:rPr>
          <w:rFonts w:ascii="Times New Roman" w:eastAsia="Times New Roman" w:hAnsi="Times New Roman" w:cs="Times New Roman"/>
          <w:sz w:val="24"/>
          <w:szCs w:val="24"/>
        </w:rPr>
        <w:t xml:space="preserve">) contains coexisting </w:t>
      </w:r>
      <w:hyperlink r:id="rId6" w:tooltip="Learn more about goethite from ScienceDirect's AI-generated Topic Pages" w:history="1">
        <w:r w:rsidRPr="004217FE">
          <w:rPr>
            <w:rFonts w:ascii="Times New Roman" w:eastAsia="Times New Roman" w:hAnsi="Times New Roman" w:cs="Times New Roman"/>
            <w:color w:val="0000FF"/>
            <w:sz w:val="24"/>
            <w:szCs w:val="24"/>
            <w:u w:val="single"/>
          </w:rPr>
          <w:t>goethite</w:t>
        </w:r>
      </w:hyperlink>
      <w:r w:rsidRPr="004217FE">
        <w:rPr>
          <w:rFonts w:ascii="Times New Roman" w:eastAsia="Times New Roman" w:hAnsi="Times New Roman" w:cs="Times New Roman"/>
          <w:sz w:val="24"/>
          <w:szCs w:val="24"/>
        </w:rPr>
        <w:t xml:space="preserve">, </w:t>
      </w:r>
      <w:hyperlink r:id="rId7" w:tooltip="Learn more about gibbsite from ScienceDirect's AI-generated Topic Pages" w:history="1">
        <w:r w:rsidRPr="004217FE">
          <w:rPr>
            <w:rFonts w:ascii="Times New Roman" w:eastAsia="Times New Roman" w:hAnsi="Times New Roman" w:cs="Times New Roman"/>
            <w:color w:val="0000FF"/>
            <w:sz w:val="24"/>
            <w:szCs w:val="24"/>
            <w:u w:val="single"/>
          </w:rPr>
          <w:t>gibbsite</w:t>
        </w:r>
      </w:hyperlink>
      <w:r w:rsidRPr="004217FE">
        <w:rPr>
          <w:rFonts w:ascii="Times New Roman" w:eastAsia="Times New Roman" w:hAnsi="Times New Roman" w:cs="Times New Roman"/>
          <w:sz w:val="24"/>
          <w:szCs w:val="24"/>
        </w:rPr>
        <w:t xml:space="preserve">, phyllosilicate, and hematite. The </w:t>
      </w:r>
      <w:proofErr w:type="gramStart"/>
      <w:r w:rsidRPr="004217FE">
        <w:rPr>
          <w:rFonts w:ascii="Times New Roman" w:eastAsia="Times New Roman" w:hAnsi="Times New Roman" w:cs="Times New Roman"/>
          <w:sz w:val="24"/>
          <w:szCs w:val="24"/>
        </w:rPr>
        <w:t>Fe(</w:t>
      </w:r>
      <w:proofErr w:type="gramEnd"/>
      <w:r w:rsidRPr="004217FE">
        <w:rPr>
          <w:rFonts w:ascii="Times New Roman" w:eastAsia="Times New Roman" w:hAnsi="Times New Roman" w:cs="Times New Roman"/>
          <w:sz w:val="24"/>
          <w:szCs w:val="24"/>
        </w:rPr>
        <w:t xml:space="preserve">III) oxides exhibit </w:t>
      </w:r>
      <w:proofErr w:type="spellStart"/>
      <w:r w:rsidRPr="004217FE">
        <w:rPr>
          <w:rFonts w:ascii="Times New Roman" w:eastAsia="Times New Roman" w:hAnsi="Times New Roman" w:cs="Times New Roman"/>
          <w:sz w:val="24"/>
          <w:szCs w:val="24"/>
        </w:rPr>
        <w:t>pisolitic</w:t>
      </w:r>
      <w:proofErr w:type="spellEnd"/>
      <w:r w:rsidRPr="004217FE">
        <w:rPr>
          <w:rFonts w:ascii="Times New Roman" w:eastAsia="Times New Roman" w:hAnsi="Times New Roman" w:cs="Times New Roman"/>
          <w:sz w:val="24"/>
          <w:szCs w:val="24"/>
        </w:rPr>
        <w:t xml:space="preserve"> and Liesegang-type morphologies that are mutually exclusive in hand specimens. X-ray diffraction (XRD) measurements of Al substituted for Fe in goethite indicate two populations: (1) low-Al, Liesegang-type </w:t>
      </w:r>
      <w:proofErr w:type="spellStart"/>
      <w:r w:rsidRPr="004217FE">
        <w:rPr>
          <w:rFonts w:ascii="Times New Roman" w:eastAsia="Times New Roman" w:hAnsi="Times New Roman" w:cs="Times New Roman"/>
          <w:sz w:val="24"/>
          <w:szCs w:val="24"/>
        </w:rPr>
        <w:t>goethites</w:t>
      </w:r>
      <w:proofErr w:type="spellEnd"/>
      <w:r w:rsidRPr="004217FE">
        <w:rPr>
          <w:rFonts w:ascii="Times New Roman" w:eastAsia="Times New Roman" w:hAnsi="Times New Roman" w:cs="Times New Roman"/>
          <w:sz w:val="24"/>
          <w:szCs w:val="24"/>
        </w:rPr>
        <w:t xml:space="preserve"> (</w:t>
      </w:r>
      <w:r w:rsidRPr="004217FE">
        <w:rPr>
          <w:rFonts w:ascii="Cambria Math" w:eastAsia="Times New Roman" w:hAnsi="Cambria Math" w:cs="Cambria Math"/>
          <w:sz w:val="24"/>
          <w:szCs w:val="24"/>
        </w:rPr>
        <w:t>∼</w:t>
      </w:r>
      <w:r w:rsidRPr="004217FE">
        <w:rPr>
          <w:rFonts w:ascii="Times New Roman" w:eastAsia="Times New Roman" w:hAnsi="Times New Roman" w:cs="Times New Roman"/>
          <w:sz w:val="24"/>
          <w:szCs w:val="24"/>
        </w:rPr>
        <w:t xml:space="preserve">0 mol% Al) and (2) high-Al, </w:t>
      </w:r>
      <w:proofErr w:type="spellStart"/>
      <w:r w:rsidRPr="004217FE">
        <w:rPr>
          <w:rFonts w:ascii="Times New Roman" w:eastAsia="Times New Roman" w:hAnsi="Times New Roman" w:cs="Times New Roman"/>
          <w:sz w:val="24"/>
          <w:szCs w:val="24"/>
        </w:rPr>
        <w:t>pisolitic</w:t>
      </w:r>
      <w:proofErr w:type="spellEnd"/>
      <w:r w:rsidRPr="004217FE">
        <w:rPr>
          <w:rFonts w:ascii="Times New Roman" w:eastAsia="Times New Roman" w:hAnsi="Times New Roman" w:cs="Times New Roman"/>
          <w:sz w:val="24"/>
          <w:szCs w:val="24"/>
        </w:rPr>
        <w:t xml:space="preserve"> </w:t>
      </w:r>
      <w:proofErr w:type="spellStart"/>
      <w:r w:rsidRPr="004217FE">
        <w:rPr>
          <w:rFonts w:ascii="Times New Roman" w:eastAsia="Times New Roman" w:hAnsi="Times New Roman" w:cs="Times New Roman"/>
          <w:sz w:val="24"/>
          <w:szCs w:val="24"/>
        </w:rPr>
        <w:t>goethites</w:t>
      </w:r>
      <w:proofErr w:type="spellEnd"/>
      <w:r w:rsidRPr="004217FE">
        <w:rPr>
          <w:rFonts w:ascii="Times New Roman" w:eastAsia="Times New Roman" w:hAnsi="Times New Roman" w:cs="Times New Roman"/>
          <w:sz w:val="24"/>
          <w:szCs w:val="24"/>
        </w:rPr>
        <w:t xml:space="preserve"> (</w:t>
      </w:r>
      <w:r w:rsidRPr="004217FE">
        <w:rPr>
          <w:rFonts w:ascii="Cambria Math" w:eastAsia="Times New Roman" w:hAnsi="Cambria Math" w:cs="Cambria Math"/>
          <w:sz w:val="24"/>
          <w:szCs w:val="24"/>
        </w:rPr>
        <w:t>∼</w:t>
      </w:r>
      <w:r w:rsidRPr="004217FE">
        <w:rPr>
          <w:rFonts w:ascii="Times New Roman" w:eastAsia="Times New Roman" w:hAnsi="Times New Roman" w:cs="Times New Roman"/>
          <w:sz w:val="24"/>
          <w:szCs w:val="24"/>
        </w:rPr>
        <w:t xml:space="preserve">9 to </w:t>
      </w:r>
      <w:r w:rsidRPr="004217FE">
        <w:rPr>
          <w:rFonts w:ascii="Cambria Math" w:eastAsia="Times New Roman" w:hAnsi="Cambria Math" w:cs="Cambria Math"/>
          <w:sz w:val="24"/>
          <w:szCs w:val="24"/>
        </w:rPr>
        <w:t>∼</w:t>
      </w:r>
      <w:r w:rsidRPr="004217FE">
        <w:rPr>
          <w:rFonts w:ascii="Times New Roman" w:eastAsia="Times New Roman" w:hAnsi="Times New Roman" w:cs="Times New Roman"/>
          <w:sz w:val="24"/>
          <w:szCs w:val="24"/>
        </w:rPr>
        <w:t>24 mol% Al). Selective dissolution and incremental vacuum dehydration-decarbonation were used to determine the concentration and δ</w:t>
      </w:r>
      <w:r w:rsidRPr="004217FE">
        <w:rPr>
          <w:rFonts w:ascii="Times New Roman" w:eastAsia="Times New Roman" w:hAnsi="Times New Roman" w:cs="Times New Roman"/>
          <w:sz w:val="24"/>
          <w:szCs w:val="24"/>
          <w:vertAlign w:val="superscript"/>
        </w:rPr>
        <w:t>13</w:t>
      </w:r>
      <w:r w:rsidRPr="004217FE">
        <w:rPr>
          <w:rFonts w:ascii="Times New Roman" w:eastAsia="Times New Roman" w:hAnsi="Times New Roman" w:cs="Times New Roman"/>
          <w:sz w:val="24"/>
          <w:szCs w:val="24"/>
        </w:rPr>
        <w:t>C values of CO</w:t>
      </w:r>
      <w:r w:rsidRPr="004217FE">
        <w:rPr>
          <w:rFonts w:ascii="Times New Roman" w:eastAsia="Times New Roman" w:hAnsi="Times New Roman" w:cs="Times New Roman"/>
          <w:sz w:val="24"/>
          <w:szCs w:val="24"/>
          <w:vertAlign w:val="subscript"/>
        </w:rPr>
        <w:t>2</w:t>
      </w:r>
      <w:r w:rsidRPr="004217FE">
        <w:rPr>
          <w:rFonts w:ascii="Times New Roman" w:eastAsia="Times New Roman" w:hAnsi="Times New Roman" w:cs="Times New Roman"/>
          <w:sz w:val="24"/>
          <w:szCs w:val="24"/>
        </w:rPr>
        <w:t xml:space="preserve"> occluded in the respective structures of the </w:t>
      </w:r>
      <w:proofErr w:type="spellStart"/>
      <w:r w:rsidRPr="004217FE">
        <w:rPr>
          <w:rFonts w:ascii="Times New Roman" w:eastAsia="Times New Roman" w:hAnsi="Times New Roman" w:cs="Times New Roman"/>
          <w:sz w:val="24"/>
          <w:szCs w:val="24"/>
        </w:rPr>
        <w:t>goethites</w:t>
      </w:r>
      <w:proofErr w:type="spellEnd"/>
      <w:r w:rsidRPr="004217FE">
        <w:rPr>
          <w:rFonts w:ascii="Times New Roman" w:eastAsia="Times New Roman" w:hAnsi="Times New Roman" w:cs="Times New Roman"/>
          <w:sz w:val="24"/>
          <w:szCs w:val="24"/>
        </w:rPr>
        <w:t xml:space="preserve"> and gibbsites in this complex mixture of </w:t>
      </w:r>
      <w:proofErr w:type="spellStart"/>
      <w:r w:rsidRPr="004217FE">
        <w:rPr>
          <w:rFonts w:ascii="Times New Roman" w:eastAsia="Times New Roman" w:hAnsi="Times New Roman" w:cs="Times New Roman"/>
          <w:sz w:val="24"/>
          <w:szCs w:val="24"/>
        </w:rPr>
        <w:t>Nire</w:t>
      </w:r>
      <w:proofErr w:type="spellEnd"/>
      <w:r w:rsidRPr="004217FE">
        <w:rPr>
          <w:rFonts w:ascii="Times New Roman" w:eastAsia="Times New Roman" w:hAnsi="Times New Roman" w:cs="Times New Roman"/>
          <w:sz w:val="24"/>
          <w:szCs w:val="24"/>
        </w:rPr>
        <w:t xml:space="preserve"> lateritic minerals. The </w:t>
      </w:r>
      <w:proofErr w:type="gramStart"/>
      <w:r w:rsidRPr="004217FE">
        <w:rPr>
          <w:rFonts w:ascii="Times New Roman" w:eastAsia="Times New Roman" w:hAnsi="Times New Roman" w:cs="Times New Roman"/>
          <w:sz w:val="24"/>
          <w:szCs w:val="24"/>
        </w:rPr>
        <w:t>Fe(</w:t>
      </w:r>
      <w:proofErr w:type="gramEnd"/>
      <w:r w:rsidRPr="004217FE">
        <w:rPr>
          <w:rFonts w:ascii="Times New Roman" w:eastAsia="Times New Roman" w:hAnsi="Times New Roman" w:cs="Times New Roman"/>
          <w:sz w:val="24"/>
          <w:szCs w:val="24"/>
        </w:rPr>
        <w:t>CO</w:t>
      </w:r>
      <w:r w:rsidRPr="004217FE">
        <w:rPr>
          <w:rFonts w:ascii="Times New Roman" w:eastAsia="Times New Roman" w:hAnsi="Times New Roman" w:cs="Times New Roman"/>
          <w:sz w:val="24"/>
          <w:szCs w:val="24"/>
          <w:vertAlign w:val="subscript"/>
        </w:rPr>
        <w:t>3</w:t>
      </w:r>
      <w:r w:rsidRPr="004217FE">
        <w:rPr>
          <w:rFonts w:ascii="Times New Roman" w:eastAsia="Times New Roman" w:hAnsi="Times New Roman" w:cs="Times New Roman"/>
          <w:sz w:val="24"/>
          <w:szCs w:val="24"/>
        </w:rPr>
        <w:t xml:space="preserve">)OH component in the high-Al </w:t>
      </w:r>
      <w:proofErr w:type="spellStart"/>
      <w:r w:rsidRPr="004217FE">
        <w:rPr>
          <w:rFonts w:ascii="Times New Roman" w:eastAsia="Times New Roman" w:hAnsi="Times New Roman" w:cs="Times New Roman"/>
          <w:sz w:val="24"/>
          <w:szCs w:val="24"/>
        </w:rPr>
        <w:t>goethites</w:t>
      </w:r>
      <w:proofErr w:type="spellEnd"/>
      <w:r w:rsidRPr="004217FE">
        <w:rPr>
          <w:rFonts w:ascii="Times New Roman" w:eastAsia="Times New Roman" w:hAnsi="Times New Roman" w:cs="Times New Roman"/>
          <w:sz w:val="24"/>
          <w:szCs w:val="24"/>
        </w:rPr>
        <w:t xml:space="preserve"> appears to retain a proxy carbon isotopic record of vadose zone CO</w:t>
      </w:r>
      <w:r w:rsidRPr="004217FE">
        <w:rPr>
          <w:rFonts w:ascii="Times New Roman" w:eastAsia="Times New Roman" w:hAnsi="Times New Roman" w:cs="Times New Roman"/>
          <w:sz w:val="24"/>
          <w:szCs w:val="24"/>
          <w:vertAlign w:val="subscript"/>
        </w:rPr>
        <w:t>2</w:t>
      </w:r>
      <w:r w:rsidRPr="004217FE">
        <w:rPr>
          <w:rFonts w:ascii="Times New Roman" w:eastAsia="Times New Roman" w:hAnsi="Times New Roman" w:cs="Times New Roman"/>
          <w:sz w:val="24"/>
          <w:szCs w:val="24"/>
        </w:rPr>
        <w:t xml:space="preserve"> in the ancient soil. The δ</w:t>
      </w:r>
      <w:r w:rsidRPr="004217FE">
        <w:rPr>
          <w:rFonts w:ascii="Times New Roman" w:eastAsia="Times New Roman" w:hAnsi="Times New Roman" w:cs="Times New Roman"/>
          <w:sz w:val="24"/>
          <w:szCs w:val="24"/>
          <w:vertAlign w:val="superscript"/>
        </w:rPr>
        <w:t>13</w:t>
      </w:r>
      <w:r w:rsidRPr="004217FE">
        <w:rPr>
          <w:rFonts w:ascii="Times New Roman" w:eastAsia="Times New Roman" w:hAnsi="Times New Roman" w:cs="Times New Roman"/>
          <w:sz w:val="24"/>
          <w:szCs w:val="24"/>
        </w:rPr>
        <w:t>C values of CO</w:t>
      </w:r>
      <w:r w:rsidRPr="004217FE">
        <w:rPr>
          <w:rFonts w:ascii="Times New Roman" w:eastAsia="Times New Roman" w:hAnsi="Times New Roman" w:cs="Times New Roman"/>
          <w:sz w:val="24"/>
          <w:szCs w:val="24"/>
          <w:vertAlign w:val="subscript"/>
        </w:rPr>
        <w:t>2</w:t>
      </w:r>
      <w:r w:rsidRPr="004217FE">
        <w:rPr>
          <w:rFonts w:ascii="Times New Roman" w:eastAsia="Times New Roman" w:hAnsi="Times New Roman" w:cs="Times New Roman"/>
          <w:sz w:val="24"/>
          <w:szCs w:val="24"/>
        </w:rPr>
        <w:t xml:space="preserve"> occluded in coexisting </w:t>
      </w:r>
      <w:proofErr w:type="spellStart"/>
      <w:r w:rsidRPr="004217FE">
        <w:rPr>
          <w:rFonts w:ascii="Times New Roman" w:eastAsia="Times New Roman" w:hAnsi="Times New Roman" w:cs="Times New Roman"/>
          <w:sz w:val="24"/>
          <w:szCs w:val="24"/>
        </w:rPr>
        <w:t>goethites</w:t>
      </w:r>
      <w:proofErr w:type="spellEnd"/>
      <w:r w:rsidRPr="004217FE">
        <w:rPr>
          <w:rFonts w:ascii="Times New Roman" w:eastAsia="Times New Roman" w:hAnsi="Times New Roman" w:cs="Times New Roman"/>
          <w:sz w:val="24"/>
          <w:szCs w:val="24"/>
        </w:rPr>
        <w:t xml:space="preserve"> and gibbsites indicate that these minerals did not form in equilibrium with the same environmental CO</w:t>
      </w:r>
      <w:r w:rsidRPr="004217FE">
        <w:rPr>
          <w:rFonts w:ascii="Times New Roman" w:eastAsia="Times New Roman" w:hAnsi="Times New Roman" w:cs="Times New Roman"/>
          <w:sz w:val="24"/>
          <w:szCs w:val="24"/>
          <w:vertAlign w:val="subscript"/>
        </w:rPr>
        <w:t>2</w:t>
      </w:r>
      <w:r w:rsidRPr="004217FE">
        <w:rPr>
          <w:rFonts w:ascii="Times New Roman" w:eastAsia="Times New Roman" w:hAnsi="Times New Roman" w:cs="Times New Roman"/>
          <w:sz w:val="24"/>
          <w:szCs w:val="24"/>
        </w:rPr>
        <w:t>.</w:t>
      </w:r>
    </w:p>
    <w:p w:rsidR="004217FE" w:rsidRPr="004217FE" w:rsidRDefault="004217FE" w:rsidP="004217FE">
      <w:pPr>
        <w:spacing w:before="100" w:beforeAutospacing="1" w:after="100" w:afterAutospacing="1" w:line="240" w:lineRule="auto"/>
        <w:rPr>
          <w:rFonts w:ascii="Times New Roman" w:eastAsia="Times New Roman" w:hAnsi="Times New Roman" w:cs="Times New Roman"/>
          <w:sz w:val="24"/>
          <w:szCs w:val="24"/>
        </w:rPr>
      </w:pPr>
      <w:r w:rsidRPr="004217FE">
        <w:rPr>
          <w:rFonts w:ascii="Times New Roman" w:eastAsia="Times New Roman" w:hAnsi="Times New Roman" w:cs="Times New Roman"/>
          <w:sz w:val="24"/>
          <w:szCs w:val="24"/>
        </w:rPr>
        <w:t xml:space="preserve">The measured mole fractions (X) of </w:t>
      </w:r>
      <w:proofErr w:type="gramStart"/>
      <w:r w:rsidRPr="004217FE">
        <w:rPr>
          <w:rFonts w:ascii="Times New Roman" w:eastAsia="Times New Roman" w:hAnsi="Times New Roman" w:cs="Times New Roman"/>
          <w:sz w:val="24"/>
          <w:szCs w:val="24"/>
        </w:rPr>
        <w:t>Fe(</w:t>
      </w:r>
      <w:proofErr w:type="gramEnd"/>
      <w:r w:rsidRPr="004217FE">
        <w:rPr>
          <w:rFonts w:ascii="Times New Roman" w:eastAsia="Times New Roman" w:hAnsi="Times New Roman" w:cs="Times New Roman"/>
          <w:sz w:val="24"/>
          <w:szCs w:val="24"/>
        </w:rPr>
        <w:t>CO</w:t>
      </w:r>
      <w:r w:rsidRPr="004217FE">
        <w:rPr>
          <w:rFonts w:ascii="Times New Roman" w:eastAsia="Times New Roman" w:hAnsi="Times New Roman" w:cs="Times New Roman"/>
          <w:sz w:val="24"/>
          <w:szCs w:val="24"/>
          <w:vertAlign w:val="subscript"/>
        </w:rPr>
        <w:t>3</w:t>
      </w:r>
      <w:r w:rsidRPr="004217FE">
        <w:rPr>
          <w:rFonts w:ascii="Times New Roman" w:eastAsia="Times New Roman" w:hAnsi="Times New Roman" w:cs="Times New Roman"/>
          <w:sz w:val="24"/>
          <w:szCs w:val="24"/>
        </w:rPr>
        <w:t xml:space="preserve">)OH in the high-Al </w:t>
      </w:r>
      <w:proofErr w:type="spellStart"/>
      <w:r w:rsidRPr="004217FE">
        <w:rPr>
          <w:rFonts w:ascii="Times New Roman" w:eastAsia="Times New Roman" w:hAnsi="Times New Roman" w:cs="Times New Roman"/>
          <w:sz w:val="24"/>
          <w:szCs w:val="24"/>
        </w:rPr>
        <w:t>goethites</w:t>
      </w:r>
      <w:proofErr w:type="spellEnd"/>
      <w:r w:rsidRPr="004217FE">
        <w:rPr>
          <w:rFonts w:ascii="Times New Roman" w:eastAsia="Times New Roman" w:hAnsi="Times New Roman" w:cs="Times New Roman"/>
          <w:sz w:val="24"/>
          <w:szCs w:val="24"/>
        </w:rPr>
        <w:t xml:space="preserve"> range from 0.0059 (±0.0005) to 0.0077 (±0.0006) and correspond to soil CO</w:t>
      </w:r>
      <w:r w:rsidRPr="004217FE">
        <w:rPr>
          <w:rFonts w:ascii="Times New Roman" w:eastAsia="Times New Roman" w:hAnsi="Times New Roman" w:cs="Times New Roman"/>
          <w:sz w:val="24"/>
          <w:szCs w:val="24"/>
          <w:vertAlign w:val="subscript"/>
        </w:rPr>
        <w:t>2</w:t>
      </w:r>
      <w:r w:rsidRPr="004217FE">
        <w:rPr>
          <w:rFonts w:ascii="Times New Roman" w:eastAsia="Times New Roman" w:hAnsi="Times New Roman" w:cs="Times New Roman"/>
          <w:sz w:val="24"/>
          <w:szCs w:val="24"/>
        </w:rPr>
        <w:t xml:space="preserve"> concentrations of </w:t>
      </w:r>
      <w:r w:rsidRPr="004217FE">
        <w:rPr>
          <w:rFonts w:ascii="Cambria Math" w:eastAsia="Times New Roman" w:hAnsi="Cambria Math" w:cs="Cambria Math"/>
          <w:sz w:val="24"/>
          <w:szCs w:val="24"/>
        </w:rPr>
        <w:t>∼</w:t>
      </w:r>
      <w:r w:rsidRPr="004217FE">
        <w:rPr>
          <w:rFonts w:ascii="Times New Roman" w:eastAsia="Times New Roman" w:hAnsi="Times New Roman" w:cs="Times New Roman"/>
          <w:sz w:val="24"/>
          <w:szCs w:val="24"/>
        </w:rPr>
        <w:t xml:space="preserve">28,000 to </w:t>
      </w:r>
      <w:r w:rsidRPr="004217FE">
        <w:rPr>
          <w:rFonts w:ascii="Cambria Math" w:eastAsia="Times New Roman" w:hAnsi="Cambria Math" w:cs="Cambria Math"/>
          <w:sz w:val="24"/>
          <w:szCs w:val="24"/>
        </w:rPr>
        <w:t>∼</w:t>
      </w:r>
      <w:r w:rsidRPr="004217FE">
        <w:rPr>
          <w:rFonts w:ascii="Times New Roman" w:eastAsia="Times New Roman" w:hAnsi="Times New Roman" w:cs="Times New Roman"/>
          <w:sz w:val="24"/>
          <w:szCs w:val="24"/>
        </w:rPr>
        <w:t xml:space="preserve">37,000 </w:t>
      </w:r>
      <w:proofErr w:type="spellStart"/>
      <w:r w:rsidRPr="004217FE">
        <w:rPr>
          <w:rFonts w:ascii="Times New Roman" w:eastAsia="Times New Roman" w:hAnsi="Times New Roman" w:cs="Times New Roman"/>
          <w:sz w:val="24"/>
          <w:szCs w:val="24"/>
        </w:rPr>
        <w:t>ppmV</w:t>
      </w:r>
      <w:proofErr w:type="spellEnd"/>
      <w:r w:rsidRPr="004217FE">
        <w:rPr>
          <w:rFonts w:ascii="Times New Roman" w:eastAsia="Times New Roman" w:hAnsi="Times New Roman" w:cs="Times New Roman"/>
          <w:sz w:val="24"/>
          <w:szCs w:val="24"/>
        </w:rPr>
        <w:t>. The average values of X and δ</w:t>
      </w:r>
      <w:r w:rsidRPr="004217FE">
        <w:rPr>
          <w:rFonts w:ascii="Times New Roman" w:eastAsia="Times New Roman" w:hAnsi="Times New Roman" w:cs="Times New Roman"/>
          <w:sz w:val="24"/>
          <w:szCs w:val="24"/>
          <w:vertAlign w:val="superscript"/>
        </w:rPr>
        <w:t>13</w:t>
      </w:r>
      <w:r w:rsidRPr="004217FE">
        <w:rPr>
          <w:rFonts w:ascii="Times New Roman" w:eastAsia="Times New Roman" w:hAnsi="Times New Roman" w:cs="Times New Roman"/>
          <w:sz w:val="24"/>
          <w:szCs w:val="24"/>
        </w:rPr>
        <w:t xml:space="preserve">C for the four high-Al </w:t>
      </w:r>
      <w:proofErr w:type="spellStart"/>
      <w:r w:rsidRPr="004217FE">
        <w:rPr>
          <w:rFonts w:ascii="Times New Roman" w:eastAsia="Times New Roman" w:hAnsi="Times New Roman" w:cs="Times New Roman"/>
          <w:sz w:val="24"/>
          <w:szCs w:val="24"/>
        </w:rPr>
        <w:t>goethites</w:t>
      </w:r>
      <w:proofErr w:type="spellEnd"/>
      <w:r w:rsidRPr="004217FE">
        <w:rPr>
          <w:rFonts w:ascii="Times New Roman" w:eastAsia="Times New Roman" w:hAnsi="Times New Roman" w:cs="Times New Roman"/>
          <w:sz w:val="24"/>
          <w:szCs w:val="24"/>
        </w:rPr>
        <w:t xml:space="preserve"> are 0.0067 ± 0.0007 and −20.1 ± 0.5‰, respectively. The δ</w:t>
      </w:r>
      <w:r w:rsidRPr="004217FE">
        <w:rPr>
          <w:rFonts w:ascii="Times New Roman" w:eastAsia="Times New Roman" w:hAnsi="Times New Roman" w:cs="Times New Roman"/>
          <w:sz w:val="24"/>
          <w:szCs w:val="24"/>
          <w:vertAlign w:val="superscript"/>
        </w:rPr>
        <w:t>13</w:t>
      </w:r>
      <w:r w:rsidRPr="004217FE">
        <w:rPr>
          <w:rFonts w:ascii="Times New Roman" w:eastAsia="Times New Roman" w:hAnsi="Times New Roman" w:cs="Times New Roman"/>
          <w:sz w:val="24"/>
          <w:szCs w:val="24"/>
        </w:rPr>
        <w:t>C value of the organic matter undergoing oxidation in this midlatitude (</w:t>
      </w:r>
      <w:r w:rsidRPr="004217FE">
        <w:rPr>
          <w:rFonts w:ascii="Cambria Math" w:eastAsia="Times New Roman" w:hAnsi="Cambria Math" w:cs="Cambria Math"/>
          <w:sz w:val="24"/>
          <w:szCs w:val="24"/>
        </w:rPr>
        <w:t>∼</w:t>
      </w:r>
      <w:r w:rsidRPr="004217FE">
        <w:rPr>
          <w:rFonts w:ascii="Times New Roman" w:eastAsia="Times New Roman" w:hAnsi="Times New Roman" w:cs="Times New Roman"/>
          <w:sz w:val="24"/>
          <w:szCs w:val="24"/>
        </w:rPr>
        <w:t xml:space="preserve">55°N) Late Paleocene soil appears to have been </w:t>
      </w:r>
      <w:r w:rsidRPr="004217FE">
        <w:rPr>
          <w:rFonts w:ascii="Cambria Math" w:eastAsia="Times New Roman" w:hAnsi="Cambria Math" w:cs="Cambria Math"/>
          <w:sz w:val="24"/>
          <w:szCs w:val="24"/>
        </w:rPr>
        <w:t>∼</w:t>
      </w:r>
      <w:r w:rsidRPr="004217FE">
        <w:rPr>
          <w:rFonts w:ascii="Times New Roman" w:eastAsia="Times New Roman" w:hAnsi="Times New Roman" w:cs="Times New Roman"/>
          <w:sz w:val="24"/>
          <w:szCs w:val="24"/>
        </w:rPr>
        <w:t xml:space="preserve"> −28.2‰. Taken together, these data indicate an atmospheric CO</w:t>
      </w:r>
      <w:r w:rsidRPr="004217FE">
        <w:rPr>
          <w:rFonts w:ascii="Times New Roman" w:eastAsia="Times New Roman" w:hAnsi="Times New Roman" w:cs="Times New Roman"/>
          <w:sz w:val="24"/>
          <w:szCs w:val="24"/>
          <w:vertAlign w:val="subscript"/>
        </w:rPr>
        <w:t>2</w:t>
      </w:r>
      <w:r w:rsidRPr="004217FE">
        <w:rPr>
          <w:rFonts w:ascii="Times New Roman" w:eastAsia="Times New Roman" w:hAnsi="Times New Roman" w:cs="Times New Roman"/>
          <w:sz w:val="24"/>
          <w:szCs w:val="24"/>
        </w:rPr>
        <w:t xml:space="preserve"> concentration of </w:t>
      </w:r>
      <w:r w:rsidRPr="004217FE">
        <w:rPr>
          <w:rFonts w:ascii="Cambria Math" w:eastAsia="Times New Roman" w:hAnsi="Cambria Math" w:cs="Cambria Math"/>
          <w:sz w:val="24"/>
          <w:szCs w:val="24"/>
        </w:rPr>
        <w:t>∼</w:t>
      </w:r>
      <w:r w:rsidRPr="004217FE">
        <w:rPr>
          <w:rFonts w:ascii="Times New Roman" w:eastAsia="Times New Roman" w:hAnsi="Times New Roman" w:cs="Times New Roman"/>
          <w:sz w:val="24"/>
          <w:szCs w:val="24"/>
        </w:rPr>
        <w:t xml:space="preserve">2400 </w:t>
      </w:r>
      <w:proofErr w:type="spellStart"/>
      <w:r w:rsidRPr="004217FE">
        <w:rPr>
          <w:rFonts w:ascii="Times New Roman" w:eastAsia="Times New Roman" w:hAnsi="Times New Roman" w:cs="Times New Roman"/>
          <w:sz w:val="24"/>
          <w:szCs w:val="24"/>
        </w:rPr>
        <w:t>ppmV</w:t>
      </w:r>
      <w:proofErr w:type="spellEnd"/>
      <w:r w:rsidRPr="004217FE">
        <w:rPr>
          <w:rFonts w:ascii="Times New Roman" w:eastAsia="Times New Roman" w:hAnsi="Times New Roman" w:cs="Times New Roman"/>
          <w:sz w:val="24"/>
          <w:szCs w:val="24"/>
        </w:rPr>
        <w:t xml:space="preserve"> (± </w:t>
      </w:r>
      <w:r w:rsidRPr="004217FE">
        <w:rPr>
          <w:rFonts w:ascii="Cambria Math" w:eastAsia="Times New Roman" w:hAnsi="Cambria Math" w:cs="Cambria Math"/>
          <w:sz w:val="24"/>
          <w:szCs w:val="24"/>
        </w:rPr>
        <w:t>∼</w:t>
      </w:r>
      <w:r w:rsidRPr="004217FE">
        <w:rPr>
          <w:rFonts w:ascii="Times New Roman" w:eastAsia="Times New Roman" w:hAnsi="Times New Roman" w:cs="Times New Roman"/>
          <w:sz w:val="24"/>
          <w:szCs w:val="24"/>
        </w:rPr>
        <w:t xml:space="preserve">1200 </w:t>
      </w:r>
      <w:proofErr w:type="spellStart"/>
      <w:r w:rsidRPr="004217FE">
        <w:rPr>
          <w:rFonts w:ascii="Times New Roman" w:eastAsia="Times New Roman" w:hAnsi="Times New Roman" w:cs="Times New Roman"/>
          <w:sz w:val="24"/>
          <w:szCs w:val="24"/>
        </w:rPr>
        <w:t>ppmV</w:t>
      </w:r>
      <w:proofErr w:type="spellEnd"/>
      <w:r w:rsidRPr="004217FE">
        <w:rPr>
          <w:rFonts w:ascii="Times New Roman" w:eastAsia="Times New Roman" w:hAnsi="Times New Roman" w:cs="Times New Roman"/>
          <w:sz w:val="24"/>
          <w:szCs w:val="24"/>
        </w:rPr>
        <w:t xml:space="preserve">) at </w:t>
      </w:r>
      <w:r w:rsidRPr="004217FE">
        <w:rPr>
          <w:rFonts w:ascii="Cambria Math" w:eastAsia="Times New Roman" w:hAnsi="Cambria Math" w:cs="Cambria Math"/>
          <w:sz w:val="24"/>
          <w:szCs w:val="24"/>
        </w:rPr>
        <w:t>∼</w:t>
      </w:r>
      <w:r w:rsidRPr="004217FE">
        <w:rPr>
          <w:rFonts w:ascii="Times New Roman" w:eastAsia="Times New Roman" w:hAnsi="Times New Roman" w:cs="Times New Roman"/>
          <w:sz w:val="24"/>
          <w:szCs w:val="24"/>
        </w:rPr>
        <w:t>60 Ma BP. The inferred high concentration of atmospheric CO</w:t>
      </w:r>
      <w:r w:rsidRPr="004217FE">
        <w:rPr>
          <w:rFonts w:ascii="Times New Roman" w:eastAsia="Times New Roman" w:hAnsi="Times New Roman" w:cs="Times New Roman"/>
          <w:sz w:val="24"/>
          <w:szCs w:val="24"/>
          <w:vertAlign w:val="subscript"/>
        </w:rPr>
        <w:t>2</w:t>
      </w:r>
      <w:r w:rsidRPr="004217FE">
        <w:rPr>
          <w:rFonts w:ascii="Times New Roman" w:eastAsia="Times New Roman" w:hAnsi="Times New Roman" w:cs="Times New Roman"/>
          <w:sz w:val="24"/>
          <w:szCs w:val="24"/>
        </w:rPr>
        <w:t xml:space="preserve"> would have been coincident with the warm global climate of the Late Paleocene and is consistent with the idea that CO</w:t>
      </w:r>
      <w:r w:rsidRPr="004217FE">
        <w:rPr>
          <w:rFonts w:ascii="Times New Roman" w:eastAsia="Times New Roman" w:hAnsi="Times New Roman" w:cs="Times New Roman"/>
          <w:sz w:val="24"/>
          <w:szCs w:val="24"/>
          <w:vertAlign w:val="subscript"/>
        </w:rPr>
        <w:t>2</w:t>
      </w:r>
      <w:r w:rsidRPr="004217FE">
        <w:rPr>
          <w:rFonts w:ascii="Times New Roman" w:eastAsia="Times New Roman" w:hAnsi="Times New Roman" w:cs="Times New Roman"/>
          <w:sz w:val="24"/>
          <w:szCs w:val="24"/>
        </w:rPr>
        <w:t xml:space="preserve"> plays an important role in </w:t>
      </w:r>
      <w:hyperlink r:id="rId8" w:tooltip="Learn more about climate variation from ScienceDirect's AI-generated Topic Pages" w:history="1">
        <w:r w:rsidRPr="004217FE">
          <w:rPr>
            <w:rFonts w:ascii="Times New Roman" w:eastAsia="Times New Roman" w:hAnsi="Times New Roman" w:cs="Times New Roman"/>
            <w:color w:val="0000FF"/>
            <w:sz w:val="24"/>
            <w:szCs w:val="24"/>
            <w:u w:val="single"/>
          </w:rPr>
          <w:t>climate variation</w:t>
        </w:r>
      </w:hyperlink>
      <w:r w:rsidRPr="004217FE">
        <w:rPr>
          <w:rFonts w:ascii="Times New Roman" w:eastAsia="Times New Roman" w:hAnsi="Times New Roman" w:cs="Times New Roman"/>
          <w:sz w:val="24"/>
          <w:szCs w:val="24"/>
        </w:rPr>
        <w:t>.</w:t>
      </w:r>
    </w:p>
    <w:p w:rsidR="004217FE" w:rsidRPr="004217FE" w:rsidRDefault="004217FE" w:rsidP="004217FE">
      <w:pPr>
        <w:spacing w:before="100" w:beforeAutospacing="1" w:after="100" w:afterAutospacing="1" w:line="240" w:lineRule="auto"/>
        <w:outlineLvl w:val="1"/>
        <w:rPr>
          <w:rFonts w:ascii="Times New Roman" w:eastAsia="Times New Roman" w:hAnsi="Times New Roman" w:cs="Times New Roman"/>
          <w:b/>
          <w:bCs/>
          <w:sz w:val="36"/>
          <w:szCs w:val="36"/>
        </w:rPr>
      </w:pPr>
      <w:r w:rsidRPr="004217FE">
        <w:rPr>
          <w:rFonts w:ascii="Times New Roman" w:eastAsia="Times New Roman" w:hAnsi="Times New Roman" w:cs="Times New Roman"/>
          <w:b/>
          <w:bCs/>
          <w:sz w:val="36"/>
          <w:szCs w:val="36"/>
        </w:rPr>
        <w:t>Introduction</w:t>
      </w:r>
    </w:p>
    <w:p w:rsidR="004217FE" w:rsidRPr="004217FE" w:rsidRDefault="004217FE" w:rsidP="004217FE">
      <w:pPr>
        <w:spacing w:before="100" w:beforeAutospacing="1" w:after="100" w:afterAutospacing="1" w:line="240" w:lineRule="auto"/>
        <w:rPr>
          <w:rFonts w:ascii="Times New Roman" w:eastAsia="Times New Roman" w:hAnsi="Times New Roman" w:cs="Times New Roman"/>
          <w:sz w:val="24"/>
          <w:szCs w:val="24"/>
        </w:rPr>
      </w:pPr>
      <w:r w:rsidRPr="004217FE">
        <w:rPr>
          <w:rFonts w:ascii="Times New Roman" w:eastAsia="Times New Roman" w:hAnsi="Times New Roman" w:cs="Times New Roman"/>
          <w:sz w:val="24"/>
          <w:szCs w:val="24"/>
        </w:rPr>
        <w:t>Lateritic soils typically form in the warm and humid conditions found in the modern low-latitude tropics (Krishnaswamy, 1986; however, see Taylor, et al., 1992). Yet, lateritic profiles of Late Paleocene age found in southern Australia and Tasmania (Taylor et al., 1992), Ireland (Hill et al., 2000), and Iceland (Nilsen, 1978) formed at southern and northern paleolatitudes of 50° to 60° (</w:t>
      </w:r>
      <w:proofErr w:type="spellStart"/>
      <w:r w:rsidRPr="004217FE">
        <w:rPr>
          <w:rFonts w:ascii="Times New Roman" w:eastAsia="Times New Roman" w:hAnsi="Times New Roman" w:cs="Times New Roman"/>
          <w:sz w:val="24"/>
          <w:szCs w:val="24"/>
        </w:rPr>
        <w:t>Scotese</w:t>
      </w:r>
      <w:proofErr w:type="spellEnd"/>
      <w:r w:rsidRPr="004217FE">
        <w:rPr>
          <w:rFonts w:ascii="Times New Roman" w:eastAsia="Times New Roman" w:hAnsi="Times New Roman" w:cs="Times New Roman"/>
          <w:sz w:val="24"/>
          <w:szCs w:val="24"/>
        </w:rPr>
        <w:t xml:space="preserve"> and </w:t>
      </w:r>
      <w:proofErr w:type="spellStart"/>
      <w:r w:rsidRPr="004217FE">
        <w:rPr>
          <w:rFonts w:ascii="Times New Roman" w:eastAsia="Times New Roman" w:hAnsi="Times New Roman" w:cs="Times New Roman"/>
          <w:sz w:val="24"/>
          <w:szCs w:val="24"/>
        </w:rPr>
        <w:t>Golonka</w:t>
      </w:r>
      <w:proofErr w:type="spellEnd"/>
      <w:r w:rsidRPr="004217FE">
        <w:rPr>
          <w:rFonts w:ascii="Times New Roman" w:eastAsia="Times New Roman" w:hAnsi="Times New Roman" w:cs="Times New Roman"/>
          <w:sz w:val="24"/>
          <w:szCs w:val="24"/>
        </w:rPr>
        <w:t xml:space="preserve">, 1992). Today these high-latitude regions lie within the cool and humid climates of the temperate zone, a region in which laterites are not currently forming (e.g., UNFAO, 1991). This apparent dichotomy of soil type and latitude suggests that these ancient laterites formed under conditions of high-latitude warmth in the Late Paleocene. Such high-latitude warmth could be </w:t>
      </w:r>
      <w:r w:rsidRPr="004217FE">
        <w:rPr>
          <w:rFonts w:ascii="Times New Roman" w:eastAsia="Times New Roman" w:hAnsi="Times New Roman" w:cs="Times New Roman"/>
          <w:sz w:val="24"/>
          <w:szCs w:val="24"/>
        </w:rPr>
        <w:lastRenderedPageBreak/>
        <w:t>related to high concentrations of CO</w:t>
      </w:r>
      <w:r w:rsidRPr="004217FE">
        <w:rPr>
          <w:rFonts w:ascii="Times New Roman" w:eastAsia="Times New Roman" w:hAnsi="Times New Roman" w:cs="Times New Roman"/>
          <w:sz w:val="24"/>
          <w:szCs w:val="24"/>
          <w:vertAlign w:val="subscript"/>
        </w:rPr>
        <w:t>2</w:t>
      </w:r>
      <w:r w:rsidRPr="004217FE">
        <w:rPr>
          <w:rFonts w:ascii="Times New Roman" w:eastAsia="Times New Roman" w:hAnsi="Times New Roman" w:cs="Times New Roman"/>
          <w:sz w:val="24"/>
          <w:szCs w:val="24"/>
        </w:rPr>
        <w:t xml:space="preserve"> in the Late Paleocene atmosphere (Wing 1995, </w:t>
      </w:r>
      <w:proofErr w:type="spellStart"/>
      <w:r w:rsidRPr="004217FE">
        <w:rPr>
          <w:rFonts w:ascii="Times New Roman" w:eastAsia="Times New Roman" w:hAnsi="Times New Roman" w:cs="Times New Roman"/>
          <w:sz w:val="24"/>
          <w:szCs w:val="24"/>
        </w:rPr>
        <w:t>Zachos</w:t>
      </w:r>
      <w:proofErr w:type="spellEnd"/>
      <w:r w:rsidRPr="004217FE">
        <w:rPr>
          <w:rFonts w:ascii="Times New Roman" w:eastAsia="Times New Roman" w:hAnsi="Times New Roman" w:cs="Times New Roman"/>
          <w:sz w:val="24"/>
          <w:szCs w:val="24"/>
        </w:rPr>
        <w:t xml:space="preserve"> et al 2001). However, biologic and geologic proxies as well as global carbon flux balance models provide contradictory estimates of the concentration of CO</w:t>
      </w:r>
      <w:r w:rsidRPr="004217FE">
        <w:rPr>
          <w:rFonts w:ascii="Times New Roman" w:eastAsia="Times New Roman" w:hAnsi="Times New Roman" w:cs="Times New Roman"/>
          <w:sz w:val="24"/>
          <w:szCs w:val="24"/>
          <w:vertAlign w:val="subscript"/>
        </w:rPr>
        <w:t>2</w:t>
      </w:r>
      <w:r w:rsidRPr="004217FE">
        <w:rPr>
          <w:rFonts w:ascii="Times New Roman" w:eastAsia="Times New Roman" w:hAnsi="Times New Roman" w:cs="Times New Roman"/>
          <w:sz w:val="24"/>
          <w:szCs w:val="24"/>
        </w:rPr>
        <w:t xml:space="preserve"> in the Late Paleocene atmosphere, ranging from </w:t>
      </w:r>
      <w:r w:rsidRPr="004217FE">
        <w:rPr>
          <w:rFonts w:ascii="Cambria Math" w:eastAsia="Times New Roman" w:hAnsi="Cambria Math" w:cs="Cambria Math"/>
          <w:sz w:val="24"/>
          <w:szCs w:val="24"/>
        </w:rPr>
        <w:t>∼</w:t>
      </w:r>
      <w:r w:rsidRPr="004217FE">
        <w:rPr>
          <w:rFonts w:ascii="Times New Roman" w:eastAsia="Times New Roman" w:hAnsi="Times New Roman" w:cs="Times New Roman"/>
          <w:sz w:val="24"/>
          <w:szCs w:val="24"/>
        </w:rPr>
        <w:t xml:space="preserve">300 </w:t>
      </w:r>
      <w:proofErr w:type="spellStart"/>
      <w:r w:rsidRPr="004217FE">
        <w:rPr>
          <w:rFonts w:ascii="Times New Roman" w:eastAsia="Times New Roman" w:hAnsi="Times New Roman" w:cs="Times New Roman"/>
          <w:sz w:val="24"/>
          <w:szCs w:val="24"/>
        </w:rPr>
        <w:t>ppmV</w:t>
      </w:r>
      <w:proofErr w:type="spellEnd"/>
      <w:r w:rsidRPr="004217FE">
        <w:rPr>
          <w:rFonts w:ascii="Times New Roman" w:eastAsia="Times New Roman" w:hAnsi="Times New Roman" w:cs="Times New Roman"/>
          <w:sz w:val="24"/>
          <w:szCs w:val="24"/>
        </w:rPr>
        <w:t xml:space="preserve"> to </w:t>
      </w:r>
      <w:r w:rsidRPr="004217FE">
        <w:rPr>
          <w:rFonts w:ascii="Cambria Math" w:eastAsia="Times New Roman" w:hAnsi="Cambria Math" w:cs="Cambria Math"/>
          <w:sz w:val="24"/>
          <w:szCs w:val="24"/>
        </w:rPr>
        <w:t>∼</w:t>
      </w:r>
      <w:r w:rsidRPr="004217FE">
        <w:rPr>
          <w:rFonts w:ascii="Times New Roman" w:eastAsia="Times New Roman" w:hAnsi="Times New Roman" w:cs="Times New Roman"/>
          <w:sz w:val="24"/>
          <w:szCs w:val="24"/>
        </w:rPr>
        <w:t xml:space="preserve">3500 </w:t>
      </w:r>
      <w:proofErr w:type="spellStart"/>
      <w:r w:rsidRPr="004217FE">
        <w:rPr>
          <w:rFonts w:ascii="Times New Roman" w:eastAsia="Times New Roman" w:hAnsi="Times New Roman" w:cs="Times New Roman"/>
          <w:sz w:val="24"/>
          <w:szCs w:val="24"/>
        </w:rPr>
        <w:t>ppmV</w:t>
      </w:r>
      <w:proofErr w:type="spellEnd"/>
      <w:r w:rsidRPr="004217FE">
        <w:rPr>
          <w:rFonts w:ascii="Times New Roman" w:eastAsia="Times New Roman" w:hAnsi="Times New Roman" w:cs="Times New Roman"/>
          <w:sz w:val="24"/>
          <w:szCs w:val="24"/>
        </w:rPr>
        <w:t xml:space="preserve"> (e.g., Berner 1994, </w:t>
      </w:r>
      <w:proofErr w:type="spellStart"/>
      <w:r w:rsidRPr="004217FE">
        <w:rPr>
          <w:rFonts w:ascii="Times New Roman" w:eastAsia="Times New Roman" w:hAnsi="Times New Roman" w:cs="Times New Roman"/>
          <w:sz w:val="24"/>
          <w:szCs w:val="24"/>
        </w:rPr>
        <w:t>Ekart</w:t>
      </w:r>
      <w:proofErr w:type="spellEnd"/>
      <w:r w:rsidRPr="004217FE">
        <w:rPr>
          <w:rFonts w:ascii="Times New Roman" w:eastAsia="Times New Roman" w:hAnsi="Times New Roman" w:cs="Times New Roman"/>
          <w:sz w:val="24"/>
          <w:szCs w:val="24"/>
        </w:rPr>
        <w:t xml:space="preserve"> et al 1999, Pearson and Palmer 2000, </w:t>
      </w:r>
      <w:proofErr w:type="spellStart"/>
      <w:r w:rsidRPr="004217FE">
        <w:rPr>
          <w:rFonts w:ascii="Times New Roman" w:eastAsia="Times New Roman" w:hAnsi="Times New Roman" w:cs="Times New Roman"/>
          <w:sz w:val="24"/>
          <w:szCs w:val="24"/>
        </w:rPr>
        <w:t>Retallack</w:t>
      </w:r>
      <w:proofErr w:type="spellEnd"/>
      <w:r w:rsidRPr="004217FE">
        <w:rPr>
          <w:rFonts w:ascii="Times New Roman" w:eastAsia="Times New Roman" w:hAnsi="Times New Roman" w:cs="Times New Roman"/>
          <w:sz w:val="24"/>
          <w:szCs w:val="24"/>
        </w:rPr>
        <w:t xml:space="preserve"> 2001, Royer et al 2001, </w:t>
      </w:r>
      <w:proofErr w:type="spellStart"/>
      <w:r w:rsidRPr="004217FE">
        <w:rPr>
          <w:rFonts w:ascii="Times New Roman" w:eastAsia="Times New Roman" w:hAnsi="Times New Roman" w:cs="Times New Roman"/>
          <w:sz w:val="24"/>
          <w:szCs w:val="24"/>
        </w:rPr>
        <w:t>Demicco</w:t>
      </w:r>
      <w:proofErr w:type="spellEnd"/>
      <w:r w:rsidRPr="004217FE">
        <w:rPr>
          <w:rFonts w:ascii="Times New Roman" w:eastAsia="Times New Roman" w:hAnsi="Times New Roman" w:cs="Times New Roman"/>
          <w:sz w:val="24"/>
          <w:szCs w:val="24"/>
        </w:rPr>
        <w:t xml:space="preserve"> et al 2003, Tyrrell and </w:t>
      </w:r>
      <w:proofErr w:type="spellStart"/>
      <w:r w:rsidRPr="004217FE">
        <w:rPr>
          <w:rFonts w:ascii="Times New Roman" w:eastAsia="Times New Roman" w:hAnsi="Times New Roman" w:cs="Times New Roman"/>
          <w:sz w:val="24"/>
          <w:szCs w:val="24"/>
        </w:rPr>
        <w:t>Zeebe</w:t>
      </w:r>
      <w:proofErr w:type="spellEnd"/>
      <w:r w:rsidRPr="004217FE">
        <w:rPr>
          <w:rFonts w:ascii="Times New Roman" w:eastAsia="Times New Roman" w:hAnsi="Times New Roman" w:cs="Times New Roman"/>
          <w:sz w:val="24"/>
          <w:szCs w:val="24"/>
        </w:rPr>
        <w:t xml:space="preserve"> 2004).</w:t>
      </w:r>
    </w:p>
    <w:p w:rsidR="004217FE" w:rsidRPr="004217FE" w:rsidRDefault="004217FE" w:rsidP="004217FE">
      <w:pPr>
        <w:spacing w:before="100" w:beforeAutospacing="1" w:after="100" w:afterAutospacing="1" w:line="240" w:lineRule="auto"/>
        <w:rPr>
          <w:rFonts w:ascii="Times New Roman" w:eastAsia="Times New Roman" w:hAnsi="Times New Roman" w:cs="Times New Roman"/>
          <w:sz w:val="24"/>
          <w:szCs w:val="24"/>
        </w:rPr>
      </w:pPr>
      <w:r w:rsidRPr="004217FE">
        <w:rPr>
          <w:rFonts w:ascii="Times New Roman" w:eastAsia="Times New Roman" w:hAnsi="Times New Roman" w:cs="Times New Roman"/>
          <w:sz w:val="24"/>
          <w:szCs w:val="24"/>
        </w:rPr>
        <w:t>The Fe(CO</w:t>
      </w:r>
      <w:r w:rsidRPr="004217FE">
        <w:rPr>
          <w:rFonts w:ascii="Times New Roman" w:eastAsia="Times New Roman" w:hAnsi="Times New Roman" w:cs="Times New Roman"/>
          <w:sz w:val="24"/>
          <w:szCs w:val="24"/>
          <w:vertAlign w:val="subscript"/>
        </w:rPr>
        <w:t>3</w:t>
      </w:r>
      <w:r w:rsidRPr="004217FE">
        <w:rPr>
          <w:rFonts w:ascii="Times New Roman" w:eastAsia="Times New Roman" w:hAnsi="Times New Roman" w:cs="Times New Roman"/>
          <w:sz w:val="24"/>
          <w:szCs w:val="24"/>
        </w:rPr>
        <w:t>)OH component in solid solution in goethite provides information on the concentration and δ</w:t>
      </w:r>
      <w:r w:rsidRPr="004217FE">
        <w:rPr>
          <w:rFonts w:ascii="Times New Roman" w:eastAsia="Times New Roman" w:hAnsi="Times New Roman" w:cs="Times New Roman"/>
          <w:sz w:val="24"/>
          <w:szCs w:val="24"/>
          <w:vertAlign w:val="superscript"/>
        </w:rPr>
        <w:t>13</w:t>
      </w:r>
      <w:r w:rsidRPr="004217FE">
        <w:rPr>
          <w:rFonts w:ascii="Times New Roman" w:eastAsia="Times New Roman" w:hAnsi="Times New Roman" w:cs="Times New Roman"/>
          <w:sz w:val="24"/>
          <w:szCs w:val="24"/>
        </w:rPr>
        <w:t>C value of CO</w:t>
      </w:r>
      <w:r w:rsidRPr="004217FE">
        <w:rPr>
          <w:rFonts w:ascii="Times New Roman" w:eastAsia="Times New Roman" w:hAnsi="Times New Roman" w:cs="Times New Roman"/>
          <w:sz w:val="24"/>
          <w:szCs w:val="24"/>
          <w:vertAlign w:val="subscript"/>
        </w:rPr>
        <w:t>2</w:t>
      </w:r>
      <w:r w:rsidRPr="004217FE">
        <w:rPr>
          <w:rFonts w:ascii="Times New Roman" w:eastAsia="Times New Roman" w:hAnsi="Times New Roman" w:cs="Times New Roman"/>
          <w:sz w:val="24"/>
          <w:szCs w:val="24"/>
        </w:rPr>
        <w:t xml:space="preserve"> in the immediate vicinity of goethite crystallization, and in certain paleosols, may be used to infer atmospheric CO</w:t>
      </w:r>
      <w:r w:rsidRPr="004217FE">
        <w:rPr>
          <w:rFonts w:ascii="Times New Roman" w:eastAsia="Times New Roman" w:hAnsi="Times New Roman" w:cs="Times New Roman"/>
          <w:sz w:val="24"/>
          <w:szCs w:val="24"/>
          <w:vertAlign w:val="subscript"/>
        </w:rPr>
        <w:t>2</w:t>
      </w:r>
      <w:r w:rsidRPr="004217FE">
        <w:rPr>
          <w:rFonts w:ascii="Times New Roman" w:eastAsia="Times New Roman" w:hAnsi="Times New Roman" w:cs="Times New Roman"/>
          <w:sz w:val="24"/>
          <w:szCs w:val="24"/>
        </w:rPr>
        <w:t xml:space="preserve"> concentrations (Yapp and </w:t>
      </w:r>
      <w:proofErr w:type="spellStart"/>
      <w:r w:rsidRPr="004217FE">
        <w:rPr>
          <w:rFonts w:ascii="Times New Roman" w:eastAsia="Times New Roman" w:hAnsi="Times New Roman" w:cs="Times New Roman"/>
          <w:sz w:val="24"/>
          <w:szCs w:val="24"/>
        </w:rPr>
        <w:t>Poths</w:t>
      </w:r>
      <w:proofErr w:type="spellEnd"/>
      <w:r w:rsidRPr="004217FE">
        <w:rPr>
          <w:rFonts w:ascii="Times New Roman" w:eastAsia="Times New Roman" w:hAnsi="Times New Roman" w:cs="Times New Roman"/>
          <w:sz w:val="24"/>
          <w:szCs w:val="24"/>
        </w:rPr>
        <w:t xml:space="preserve"> 1991, Yapp and </w:t>
      </w:r>
      <w:proofErr w:type="spellStart"/>
      <w:r w:rsidRPr="004217FE">
        <w:rPr>
          <w:rFonts w:ascii="Times New Roman" w:eastAsia="Times New Roman" w:hAnsi="Times New Roman" w:cs="Times New Roman"/>
          <w:sz w:val="24"/>
          <w:szCs w:val="24"/>
        </w:rPr>
        <w:t>Poths</w:t>
      </w:r>
      <w:proofErr w:type="spellEnd"/>
      <w:r w:rsidRPr="004217FE">
        <w:rPr>
          <w:rFonts w:ascii="Times New Roman" w:eastAsia="Times New Roman" w:hAnsi="Times New Roman" w:cs="Times New Roman"/>
          <w:sz w:val="24"/>
          <w:szCs w:val="24"/>
        </w:rPr>
        <w:t xml:space="preserve"> 1992, Yapp and </w:t>
      </w:r>
      <w:proofErr w:type="spellStart"/>
      <w:r w:rsidRPr="004217FE">
        <w:rPr>
          <w:rFonts w:ascii="Times New Roman" w:eastAsia="Times New Roman" w:hAnsi="Times New Roman" w:cs="Times New Roman"/>
          <w:sz w:val="24"/>
          <w:szCs w:val="24"/>
        </w:rPr>
        <w:t>Poths</w:t>
      </w:r>
      <w:proofErr w:type="spellEnd"/>
      <w:r w:rsidRPr="004217FE">
        <w:rPr>
          <w:rFonts w:ascii="Times New Roman" w:eastAsia="Times New Roman" w:hAnsi="Times New Roman" w:cs="Times New Roman"/>
          <w:sz w:val="24"/>
          <w:szCs w:val="24"/>
        </w:rPr>
        <w:t xml:space="preserve"> 1993, Hsieh and Yapp 1999, Yapp 2001, Yapp 2002, Yapp 2004). Similar types of information are recorded in CO</w:t>
      </w:r>
      <w:r w:rsidRPr="004217FE">
        <w:rPr>
          <w:rFonts w:ascii="Times New Roman" w:eastAsia="Times New Roman" w:hAnsi="Times New Roman" w:cs="Times New Roman"/>
          <w:sz w:val="24"/>
          <w:szCs w:val="24"/>
          <w:vertAlign w:val="subscript"/>
        </w:rPr>
        <w:t>2</w:t>
      </w:r>
      <w:r w:rsidRPr="004217FE">
        <w:rPr>
          <w:rFonts w:ascii="Times New Roman" w:eastAsia="Times New Roman" w:hAnsi="Times New Roman" w:cs="Times New Roman"/>
          <w:sz w:val="24"/>
          <w:szCs w:val="24"/>
        </w:rPr>
        <w:t xml:space="preserve"> occluded in pedogenic gibbsite (Schroeder and </w:t>
      </w:r>
      <w:proofErr w:type="spellStart"/>
      <w:r w:rsidRPr="004217FE">
        <w:rPr>
          <w:rFonts w:ascii="Times New Roman" w:eastAsia="Times New Roman" w:hAnsi="Times New Roman" w:cs="Times New Roman"/>
          <w:sz w:val="24"/>
          <w:szCs w:val="24"/>
        </w:rPr>
        <w:t>Melear</w:t>
      </w:r>
      <w:proofErr w:type="spellEnd"/>
      <w:r w:rsidRPr="004217FE">
        <w:rPr>
          <w:rFonts w:ascii="Times New Roman" w:eastAsia="Times New Roman" w:hAnsi="Times New Roman" w:cs="Times New Roman"/>
          <w:sz w:val="24"/>
          <w:szCs w:val="24"/>
        </w:rPr>
        <w:t>, 1999). In this paper, we present analyses of the concentrations and δ</w:t>
      </w:r>
      <w:r w:rsidRPr="004217FE">
        <w:rPr>
          <w:rFonts w:ascii="Times New Roman" w:eastAsia="Times New Roman" w:hAnsi="Times New Roman" w:cs="Times New Roman"/>
          <w:sz w:val="24"/>
          <w:szCs w:val="24"/>
          <w:vertAlign w:val="superscript"/>
        </w:rPr>
        <w:t>13</w:t>
      </w:r>
      <w:r w:rsidRPr="004217FE">
        <w:rPr>
          <w:rFonts w:ascii="Times New Roman" w:eastAsia="Times New Roman" w:hAnsi="Times New Roman" w:cs="Times New Roman"/>
          <w:sz w:val="24"/>
          <w:szCs w:val="24"/>
        </w:rPr>
        <w:t>C values of CO</w:t>
      </w:r>
      <w:r w:rsidRPr="004217FE">
        <w:rPr>
          <w:rFonts w:ascii="Times New Roman" w:eastAsia="Times New Roman" w:hAnsi="Times New Roman" w:cs="Times New Roman"/>
          <w:sz w:val="24"/>
          <w:szCs w:val="24"/>
          <w:vertAlign w:val="subscript"/>
        </w:rPr>
        <w:t>2</w:t>
      </w:r>
      <w:r w:rsidRPr="004217FE">
        <w:rPr>
          <w:rFonts w:ascii="Times New Roman" w:eastAsia="Times New Roman" w:hAnsi="Times New Roman" w:cs="Times New Roman"/>
          <w:sz w:val="24"/>
          <w:szCs w:val="24"/>
        </w:rPr>
        <w:t xml:space="preserve"> evolved from coexisting </w:t>
      </w:r>
      <w:proofErr w:type="spellStart"/>
      <w:r w:rsidRPr="004217FE">
        <w:rPr>
          <w:rFonts w:ascii="Times New Roman" w:eastAsia="Times New Roman" w:hAnsi="Times New Roman" w:cs="Times New Roman"/>
          <w:sz w:val="24"/>
          <w:szCs w:val="24"/>
        </w:rPr>
        <w:t>goethites</w:t>
      </w:r>
      <w:proofErr w:type="spellEnd"/>
      <w:r w:rsidRPr="004217FE">
        <w:rPr>
          <w:rFonts w:ascii="Times New Roman" w:eastAsia="Times New Roman" w:hAnsi="Times New Roman" w:cs="Times New Roman"/>
          <w:sz w:val="24"/>
          <w:szCs w:val="24"/>
        </w:rPr>
        <w:t>, gibbsites, and organic matter from a Late Paleocene laterite from Northern Ireland. The results are discussed in terms of soil CO</w:t>
      </w:r>
      <w:r w:rsidRPr="004217FE">
        <w:rPr>
          <w:rFonts w:ascii="Times New Roman" w:eastAsia="Times New Roman" w:hAnsi="Times New Roman" w:cs="Times New Roman"/>
          <w:sz w:val="24"/>
          <w:szCs w:val="24"/>
          <w:vertAlign w:val="subscript"/>
        </w:rPr>
        <w:t>2</w:t>
      </w:r>
      <w:r w:rsidRPr="004217FE">
        <w:rPr>
          <w:rFonts w:ascii="Times New Roman" w:eastAsia="Times New Roman" w:hAnsi="Times New Roman" w:cs="Times New Roman"/>
          <w:sz w:val="24"/>
          <w:szCs w:val="24"/>
        </w:rPr>
        <w:t xml:space="preserve"> partial pressures, CO</w:t>
      </w:r>
      <w:r w:rsidRPr="004217FE">
        <w:rPr>
          <w:rFonts w:ascii="Times New Roman" w:eastAsia="Times New Roman" w:hAnsi="Times New Roman" w:cs="Times New Roman"/>
          <w:sz w:val="24"/>
          <w:szCs w:val="24"/>
          <w:vertAlign w:val="subscript"/>
        </w:rPr>
        <w:t>2</w:t>
      </w:r>
      <w:r w:rsidRPr="004217FE">
        <w:rPr>
          <w:rFonts w:ascii="Times New Roman" w:eastAsia="Times New Roman" w:hAnsi="Times New Roman" w:cs="Times New Roman"/>
          <w:sz w:val="24"/>
          <w:szCs w:val="24"/>
        </w:rPr>
        <w:t xml:space="preserve"> in the Late Paleocene atmosphere, and the implications of the carbon isotope ratios for equilibrium between goethite and gibbsite in this system.</w:t>
      </w:r>
    </w:p>
    <w:p w:rsidR="004217FE" w:rsidRPr="004217FE" w:rsidRDefault="004217FE" w:rsidP="004217FE">
      <w:pPr>
        <w:spacing w:before="100" w:beforeAutospacing="1" w:after="100" w:afterAutospacing="1" w:line="240" w:lineRule="auto"/>
        <w:outlineLvl w:val="1"/>
        <w:rPr>
          <w:rFonts w:ascii="Times New Roman" w:eastAsia="Times New Roman" w:hAnsi="Times New Roman" w:cs="Times New Roman"/>
          <w:b/>
          <w:bCs/>
          <w:sz w:val="36"/>
          <w:szCs w:val="36"/>
        </w:rPr>
      </w:pPr>
      <w:r w:rsidRPr="004217FE">
        <w:rPr>
          <w:rFonts w:ascii="Times New Roman" w:eastAsia="Times New Roman" w:hAnsi="Times New Roman" w:cs="Times New Roman"/>
          <w:b/>
          <w:bCs/>
          <w:sz w:val="36"/>
          <w:szCs w:val="36"/>
        </w:rPr>
        <w:t>Section snippets</w:t>
      </w:r>
    </w:p>
    <w:p w:rsidR="004217FE" w:rsidRPr="004217FE" w:rsidRDefault="004217FE" w:rsidP="004217FE">
      <w:pPr>
        <w:spacing w:before="100" w:beforeAutospacing="1" w:after="100" w:afterAutospacing="1" w:line="240" w:lineRule="auto"/>
        <w:outlineLvl w:val="1"/>
        <w:rPr>
          <w:rFonts w:ascii="Times New Roman" w:eastAsia="Times New Roman" w:hAnsi="Times New Roman" w:cs="Times New Roman"/>
          <w:b/>
          <w:bCs/>
          <w:sz w:val="36"/>
          <w:szCs w:val="36"/>
        </w:rPr>
      </w:pPr>
      <w:r w:rsidRPr="004217FE">
        <w:rPr>
          <w:rFonts w:ascii="Times New Roman" w:eastAsia="Times New Roman" w:hAnsi="Times New Roman" w:cs="Times New Roman"/>
          <w:b/>
          <w:bCs/>
          <w:sz w:val="36"/>
          <w:szCs w:val="36"/>
        </w:rPr>
        <w:t>Field Area and Sample Collection</w:t>
      </w:r>
    </w:p>
    <w:p w:rsidR="004217FE" w:rsidRPr="004217FE" w:rsidRDefault="004217FE" w:rsidP="004217FE">
      <w:pPr>
        <w:spacing w:before="100" w:beforeAutospacing="1" w:after="100" w:afterAutospacing="1" w:line="240" w:lineRule="auto"/>
        <w:rPr>
          <w:rFonts w:ascii="Times New Roman" w:eastAsia="Times New Roman" w:hAnsi="Times New Roman" w:cs="Times New Roman"/>
          <w:sz w:val="24"/>
          <w:szCs w:val="24"/>
        </w:rPr>
      </w:pPr>
      <w:r w:rsidRPr="004217FE">
        <w:rPr>
          <w:rFonts w:ascii="Times New Roman" w:eastAsia="Times New Roman" w:hAnsi="Times New Roman" w:cs="Times New Roman"/>
          <w:sz w:val="24"/>
          <w:szCs w:val="24"/>
        </w:rPr>
        <w:t xml:space="preserve">The geology of the sample area is summarized by Hill et al. (2000). Briefly, in Northern Ireland, tertiary basaltic lavas rest on a Cretaceous chalk (the Ulster White Limestone Formation). There are three stratigraphic units recognized in the lavas. From oldest to youngest they are (1) the lower basalt formation (LBF), (2) the </w:t>
      </w:r>
      <w:proofErr w:type="spellStart"/>
      <w:r w:rsidRPr="004217FE">
        <w:rPr>
          <w:rFonts w:ascii="Times New Roman" w:eastAsia="Times New Roman" w:hAnsi="Times New Roman" w:cs="Times New Roman"/>
          <w:sz w:val="24"/>
          <w:szCs w:val="24"/>
        </w:rPr>
        <w:t>interbasaltic</w:t>
      </w:r>
      <w:proofErr w:type="spellEnd"/>
      <w:r w:rsidRPr="004217FE">
        <w:rPr>
          <w:rFonts w:ascii="Times New Roman" w:eastAsia="Times New Roman" w:hAnsi="Times New Roman" w:cs="Times New Roman"/>
          <w:sz w:val="24"/>
          <w:szCs w:val="24"/>
        </w:rPr>
        <w:t xml:space="preserve"> formation (IBF), and (3) the upper basalt formation (UBF). In the sample area, the IBF consists of two laterite horizons separated by a basalt (the Causeway </w:t>
      </w:r>
    </w:p>
    <w:p w:rsidR="004217FE" w:rsidRPr="004217FE" w:rsidRDefault="004217FE" w:rsidP="004217FE">
      <w:pPr>
        <w:spacing w:before="100" w:beforeAutospacing="1" w:after="100" w:afterAutospacing="1" w:line="240" w:lineRule="auto"/>
        <w:outlineLvl w:val="1"/>
        <w:rPr>
          <w:rFonts w:ascii="Times New Roman" w:eastAsia="Times New Roman" w:hAnsi="Times New Roman" w:cs="Times New Roman"/>
          <w:b/>
          <w:bCs/>
          <w:sz w:val="36"/>
          <w:szCs w:val="36"/>
        </w:rPr>
      </w:pPr>
      <w:r w:rsidRPr="004217FE">
        <w:rPr>
          <w:rFonts w:ascii="Times New Roman" w:eastAsia="Times New Roman" w:hAnsi="Times New Roman" w:cs="Times New Roman"/>
          <w:b/>
          <w:bCs/>
          <w:sz w:val="36"/>
          <w:szCs w:val="36"/>
        </w:rPr>
        <w:t>Mineralogy and Paragenesis</w:t>
      </w:r>
    </w:p>
    <w:p w:rsidR="004217FE" w:rsidRPr="004217FE" w:rsidRDefault="004217FE" w:rsidP="004217FE">
      <w:pPr>
        <w:spacing w:before="100" w:beforeAutospacing="1" w:after="100" w:afterAutospacing="1" w:line="240" w:lineRule="auto"/>
        <w:rPr>
          <w:rFonts w:ascii="Times New Roman" w:eastAsia="Times New Roman" w:hAnsi="Times New Roman" w:cs="Times New Roman"/>
          <w:sz w:val="24"/>
          <w:szCs w:val="24"/>
        </w:rPr>
      </w:pPr>
      <w:r w:rsidRPr="004217FE">
        <w:rPr>
          <w:rFonts w:ascii="Times New Roman" w:eastAsia="Times New Roman" w:hAnsi="Times New Roman" w:cs="Times New Roman"/>
          <w:sz w:val="24"/>
          <w:szCs w:val="24"/>
        </w:rPr>
        <w:t xml:space="preserve">XRD spectra of the &lt;63 </w:t>
      </w:r>
      <w:proofErr w:type="spellStart"/>
      <w:r w:rsidRPr="004217FE">
        <w:rPr>
          <w:rFonts w:ascii="Times New Roman" w:eastAsia="Times New Roman" w:hAnsi="Times New Roman" w:cs="Times New Roman"/>
          <w:sz w:val="24"/>
          <w:szCs w:val="24"/>
        </w:rPr>
        <w:t>μm</w:t>
      </w:r>
      <w:proofErr w:type="spellEnd"/>
      <w:r w:rsidRPr="004217FE">
        <w:rPr>
          <w:rFonts w:ascii="Times New Roman" w:eastAsia="Times New Roman" w:hAnsi="Times New Roman" w:cs="Times New Roman"/>
          <w:sz w:val="24"/>
          <w:szCs w:val="24"/>
        </w:rPr>
        <w:t xml:space="preserve"> fraction of the bulk samples include prominent peaks near 4.98Å, 4.18Å, 2.69Å, and 2.45Å, corresponding to the (020), (110), (130), and (111) (</w:t>
      </w:r>
      <w:proofErr w:type="spellStart"/>
      <w:r w:rsidRPr="004217FE">
        <w:rPr>
          <w:rFonts w:ascii="Times New Roman" w:eastAsia="Times New Roman" w:hAnsi="Times New Roman" w:cs="Times New Roman"/>
          <w:sz w:val="24"/>
          <w:szCs w:val="24"/>
        </w:rPr>
        <w:t>hkl</w:t>
      </w:r>
      <w:proofErr w:type="spellEnd"/>
      <w:r w:rsidRPr="004217FE">
        <w:rPr>
          <w:rFonts w:ascii="Times New Roman" w:eastAsia="Times New Roman" w:hAnsi="Times New Roman" w:cs="Times New Roman"/>
          <w:sz w:val="24"/>
          <w:szCs w:val="24"/>
        </w:rPr>
        <w:t>) crystallographic axes of goethite (α-</w:t>
      </w:r>
      <w:proofErr w:type="spellStart"/>
      <w:r w:rsidRPr="004217FE">
        <w:rPr>
          <w:rFonts w:ascii="Times New Roman" w:eastAsia="Times New Roman" w:hAnsi="Times New Roman" w:cs="Times New Roman"/>
          <w:sz w:val="24"/>
          <w:szCs w:val="24"/>
        </w:rPr>
        <w:t>FeOOH</w:t>
      </w:r>
      <w:proofErr w:type="spellEnd"/>
      <w:r w:rsidRPr="004217FE">
        <w:rPr>
          <w:rFonts w:ascii="Times New Roman" w:eastAsia="Times New Roman" w:hAnsi="Times New Roman" w:cs="Times New Roman"/>
          <w:sz w:val="24"/>
          <w:szCs w:val="24"/>
        </w:rPr>
        <w:t>; e.g., Fig. 3). All samples except Nire1nm and Nire2Lnm also exhibit prominent peaks corresponding to the d(</w:t>
      </w:r>
      <w:proofErr w:type="spellStart"/>
      <w:r w:rsidRPr="004217FE">
        <w:rPr>
          <w:rFonts w:ascii="Times New Roman" w:eastAsia="Times New Roman" w:hAnsi="Times New Roman" w:cs="Times New Roman"/>
          <w:sz w:val="24"/>
          <w:szCs w:val="24"/>
        </w:rPr>
        <w:t>hkl</w:t>
      </w:r>
      <w:proofErr w:type="spellEnd"/>
      <w:r w:rsidRPr="004217FE">
        <w:rPr>
          <w:rFonts w:ascii="Times New Roman" w:eastAsia="Times New Roman" w:hAnsi="Times New Roman" w:cs="Times New Roman"/>
          <w:sz w:val="24"/>
          <w:szCs w:val="24"/>
        </w:rPr>
        <w:t>) spacings of gibbsite (α-</w:t>
      </w:r>
      <w:proofErr w:type="gramStart"/>
      <w:r w:rsidRPr="004217FE">
        <w:rPr>
          <w:rFonts w:ascii="Times New Roman" w:eastAsia="Times New Roman" w:hAnsi="Times New Roman" w:cs="Times New Roman"/>
          <w:sz w:val="24"/>
          <w:szCs w:val="24"/>
        </w:rPr>
        <w:t>Al(</w:t>
      </w:r>
      <w:proofErr w:type="gramEnd"/>
      <w:r w:rsidRPr="004217FE">
        <w:rPr>
          <w:rFonts w:ascii="Times New Roman" w:eastAsia="Times New Roman" w:hAnsi="Times New Roman" w:cs="Times New Roman"/>
          <w:sz w:val="24"/>
          <w:szCs w:val="24"/>
        </w:rPr>
        <w:t>OH)</w:t>
      </w:r>
      <w:r w:rsidRPr="004217FE">
        <w:rPr>
          <w:rFonts w:ascii="Times New Roman" w:eastAsia="Times New Roman" w:hAnsi="Times New Roman" w:cs="Times New Roman"/>
          <w:sz w:val="24"/>
          <w:szCs w:val="24"/>
          <w:vertAlign w:val="subscript"/>
        </w:rPr>
        <w:t>3</w:t>
      </w:r>
      <w:r w:rsidRPr="004217FE">
        <w:rPr>
          <w:rFonts w:ascii="Times New Roman" w:eastAsia="Times New Roman" w:hAnsi="Times New Roman" w:cs="Times New Roman"/>
          <w:sz w:val="24"/>
          <w:szCs w:val="24"/>
        </w:rPr>
        <w:t xml:space="preserve">; Fig. 2). Relatively minor peaks at </w:t>
      </w:r>
      <w:r w:rsidRPr="004217FE">
        <w:rPr>
          <w:rFonts w:ascii="Cambria Math" w:eastAsia="Times New Roman" w:hAnsi="Cambria Math" w:cs="Cambria Math"/>
          <w:sz w:val="24"/>
          <w:szCs w:val="24"/>
        </w:rPr>
        <w:t>∼</w:t>
      </w:r>
      <w:r w:rsidRPr="004217FE">
        <w:rPr>
          <w:rFonts w:ascii="Times New Roman" w:eastAsia="Times New Roman" w:hAnsi="Times New Roman" w:cs="Times New Roman"/>
          <w:sz w:val="24"/>
          <w:szCs w:val="24"/>
        </w:rPr>
        <w:t xml:space="preserve">7.16Å, at 15Å, and at </w:t>
      </w:r>
      <w:r w:rsidRPr="004217FE">
        <w:rPr>
          <w:rFonts w:ascii="Cambria Math" w:eastAsia="Times New Roman" w:hAnsi="Cambria Math" w:cs="Cambria Math"/>
          <w:sz w:val="24"/>
          <w:szCs w:val="24"/>
        </w:rPr>
        <w:t>∼</w:t>
      </w:r>
      <w:r w:rsidRPr="004217FE">
        <w:rPr>
          <w:rFonts w:ascii="Times New Roman" w:eastAsia="Times New Roman" w:hAnsi="Times New Roman" w:cs="Times New Roman"/>
          <w:sz w:val="24"/>
          <w:szCs w:val="24"/>
        </w:rPr>
        <w:t>2.69Å in all samples likely correspond to kaolinite (001), smectite (001),</w:t>
      </w:r>
    </w:p>
    <w:p w:rsidR="004217FE" w:rsidRPr="004217FE" w:rsidRDefault="004217FE" w:rsidP="004217FE">
      <w:pPr>
        <w:spacing w:before="100" w:beforeAutospacing="1" w:after="100" w:afterAutospacing="1" w:line="240" w:lineRule="auto"/>
        <w:outlineLvl w:val="1"/>
        <w:rPr>
          <w:rFonts w:ascii="Times New Roman" w:eastAsia="Times New Roman" w:hAnsi="Times New Roman" w:cs="Times New Roman"/>
          <w:b/>
          <w:bCs/>
          <w:sz w:val="36"/>
          <w:szCs w:val="36"/>
        </w:rPr>
      </w:pPr>
      <w:r w:rsidRPr="004217FE">
        <w:rPr>
          <w:rFonts w:ascii="Times New Roman" w:eastAsia="Times New Roman" w:hAnsi="Times New Roman" w:cs="Times New Roman"/>
          <w:b/>
          <w:bCs/>
          <w:sz w:val="36"/>
          <w:szCs w:val="36"/>
        </w:rPr>
        <w:t>Conclusions</w:t>
      </w:r>
    </w:p>
    <w:p w:rsidR="004217FE" w:rsidRPr="004217FE" w:rsidRDefault="004217FE" w:rsidP="004217FE">
      <w:pPr>
        <w:spacing w:before="100" w:beforeAutospacing="1" w:after="100" w:afterAutospacing="1" w:line="240" w:lineRule="auto"/>
        <w:rPr>
          <w:rFonts w:ascii="Times New Roman" w:eastAsia="Times New Roman" w:hAnsi="Times New Roman" w:cs="Times New Roman"/>
          <w:sz w:val="24"/>
          <w:szCs w:val="24"/>
        </w:rPr>
      </w:pPr>
      <w:r w:rsidRPr="004217FE">
        <w:rPr>
          <w:rFonts w:ascii="Times New Roman" w:eastAsia="Times New Roman" w:hAnsi="Times New Roman" w:cs="Times New Roman"/>
          <w:sz w:val="24"/>
          <w:szCs w:val="24"/>
        </w:rPr>
        <w:t>Complex mixtures of goethite and gibbsite in ancient laterites can be analyzed to obtain data on the concentration and δ</w:t>
      </w:r>
      <w:r w:rsidRPr="004217FE">
        <w:rPr>
          <w:rFonts w:ascii="Times New Roman" w:eastAsia="Times New Roman" w:hAnsi="Times New Roman" w:cs="Times New Roman"/>
          <w:sz w:val="24"/>
          <w:szCs w:val="24"/>
          <w:vertAlign w:val="superscript"/>
        </w:rPr>
        <w:t>13</w:t>
      </w:r>
      <w:r w:rsidRPr="004217FE">
        <w:rPr>
          <w:rFonts w:ascii="Times New Roman" w:eastAsia="Times New Roman" w:hAnsi="Times New Roman" w:cs="Times New Roman"/>
          <w:sz w:val="24"/>
          <w:szCs w:val="24"/>
        </w:rPr>
        <w:t>C values of CO</w:t>
      </w:r>
      <w:r w:rsidRPr="004217FE">
        <w:rPr>
          <w:rFonts w:ascii="Times New Roman" w:eastAsia="Times New Roman" w:hAnsi="Times New Roman" w:cs="Times New Roman"/>
          <w:sz w:val="24"/>
          <w:szCs w:val="24"/>
          <w:vertAlign w:val="subscript"/>
        </w:rPr>
        <w:t>2</w:t>
      </w:r>
      <w:r w:rsidRPr="004217FE">
        <w:rPr>
          <w:rFonts w:ascii="Times New Roman" w:eastAsia="Times New Roman" w:hAnsi="Times New Roman" w:cs="Times New Roman"/>
          <w:sz w:val="24"/>
          <w:szCs w:val="24"/>
        </w:rPr>
        <w:t xml:space="preserve"> occluded in their respective structures. Techniques involving selective dissolution and incremental vacuum dehydration-decarbonation were effective in extracting such information from </w:t>
      </w:r>
      <w:proofErr w:type="spellStart"/>
      <w:r w:rsidRPr="004217FE">
        <w:rPr>
          <w:rFonts w:ascii="Times New Roman" w:eastAsia="Times New Roman" w:hAnsi="Times New Roman" w:cs="Times New Roman"/>
          <w:sz w:val="24"/>
          <w:szCs w:val="24"/>
        </w:rPr>
        <w:t>goethites</w:t>
      </w:r>
      <w:proofErr w:type="spellEnd"/>
      <w:r w:rsidRPr="004217FE">
        <w:rPr>
          <w:rFonts w:ascii="Times New Roman" w:eastAsia="Times New Roman" w:hAnsi="Times New Roman" w:cs="Times New Roman"/>
          <w:sz w:val="24"/>
          <w:szCs w:val="24"/>
        </w:rPr>
        <w:t xml:space="preserve"> and gibbsites in a Late Paleocene laterite from Northern Ireland. The </w:t>
      </w:r>
      <w:proofErr w:type="gramStart"/>
      <w:r w:rsidRPr="004217FE">
        <w:rPr>
          <w:rFonts w:ascii="Times New Roman" w:eastAsia="Times New Roman" w:hAnsi="Times New Roman" w:cs="Times New Roman"/>
          <w:sz w:val="24"/>
          <w:szCs w:val="24"/>
        </w:rPr>
        <w:t>Fe(</w:t>
      </w:r>
      <w:proofErr w:type="gramEnd"/>
      <w:r w:rsidRPr="004217FE">
        <w:rPr>
          <w:rFonts w:ascii="Times New Roman" w:eastAsia="Times New Roman" w:hAnsi="Times New Roman" w:cs="Times New Roman"/>
          <w:sz w:val="24"/>
          <w:szCs w:val="24"/>
        </w:rPr>
        <w:t>CO</w:t>
      </w:r>
      <w:r w:rsidRPr="004217FE">
        <w:rPr>
          <w:rFonts w:ascii="Times New Roman" w:eastAsia="Times New Roman" w:hAnsi="Times New Roman" w:cs="Times New Roman"/>
          <w:sz w:val="24"/>
          <w:szCs w:val="24"/>
          <w:vertAlign w:val="subscript"/>
        </w:rPr>
        <w:t>3</w:t>
      </w:r>
      <w:r w:rsidRPr="004217FE">
        <w:rPr>
          <w:rFonts w:ascii="Times New Roman" w:eastAsia="Times New Roman" w:hAnsi="Times New Roman" w:cs="Times New Roman"/>
          <w:sz w:val="24"/>
          <w:szCs w:val="24"/>
        </w:rPr>
        <w:t xml:space="preserve">)OH component in the </w:t>
      </w:r>
      <w:proofErr w:type="spellStart"/>
      <w:r w:rsidRPr="004217FE">
        <w:rPr>
          <w:rFonts w:ascii="Times New Roman" w:eastAsia="Times New Roman" w:hAnsi="Times New Roman" w:cs="Times New Roman"/>
          <w:sz w:val="24"/>
          <w:szCs w:val="24"/>
        </w:rPr>
        <w:t>Nire</w:t>
      </w:r>
      <w:proofErr w:type="spellEnd"/>
      <w:r w:rsidRPr="004217FE">
        <w:rPr>
          <w:rFonts w:ascii="Times New Roman" w:eastAsia="Times New Roman" w:hAnsi="Times New Roman" w:cs="Times New Roman"/>
          <w:sz w:val="24"/>
          <w:szCs w:val="24"/>
        </w:rPr>
        <w:t xml:space="preserve"> </w:t>
      </w:r>
      <w:proofErr w:type="spellStart"/>
      <w:r w:rsidRPr="004217FE">
        <w:rPr>
          <w:rFonts w:ascii="Times New Roman" w:eastAsia="Times New Roman" w:hAnsi="Times New Roman" w:cs="Times New Roman"/>
          <w:sz w:val="24"/>
          <w:szCs w:val="24"/>
        </w:rPr>
        <w:t>goethites</w:t>
      </w:r>
      <w:proofErr w:type="spellEnd"/>
      <w:r w:rsidRPr="004217FE">
        <w:rPr>
          <w:rFonts w:ascii="Times New Roman" w:eastAsia="Times New Roman" w:hAnsi="Times New Roman" w:cs="Times New Roman"/>
          <w:sz w:val="24"/>
          <w:szCs w:val="24"/>
        </w:rPr>
        <w:t xml:space="preserve"> with a high degree of Al substituted for Fe (9–24 mol%</w:t>
      </w:r>
    </w:p>
    <w:p w:rsidR="004217FE" w:rsidRPr="004217FE" w:rsidRDefault="004217FE" w:rsidP="004217FE">
      <w:pPr>
        <w:spacing w:before="100" w:beforeAutospacing="1" w:after="100" w:afterAutospacing="1" w:line="240" w:lineRule="auto"/>
        <w:outlineLvl w:val="1"/>
        <w:rPr>
          <w:rFonts w:ascii="Times New Roman" w:eastAsia="Times New Roman" w:hAnsi="Times New Roman" w:cs="Times New Roman"/>
          <w:b/>
          <w:bCs/>
          <w:sz w:val="36"/>
          <w:szCs w:val="36"/>
        </w:rPr>
      </w:pPr>
      <w:r w:rsidRPr="004217FE">
        <w:rPr>
          <w:rFonts w:ascii="Times New Roman" w:eastAsia="Times New Roman" w:hAnsi="Times New Roman" w:cs="Times New Roman"/>
          <w:b/>
          <w:bCs/>
          <w:sz w:val="36"/>
          <w:szCs w:val="36"/>
        </w:rPr>
        <w:lastRenderedPageBreak/>
        <w:t>Acknowledgments</w:t>
      </w:r>
    </w:p>
    <w:p w:rsidR="004217FE" w:rsidRPr="004217FE" w:rsidRDefault="004217FE" w:rsidP="004217FE">
      <w:pPr>
        <w:spacing w:before="100" w:beforeAutospacing="1" w:after="100" w:afterAutospacing="1" w:line="240" w:lineRule="auto"/>
        <w:rPr>
          <w:rFonts w:ascii="Times New Roman" w:eastAsia="Times New Roman" w:hAnsi="Times New Roman" w:cs="Times New Roman"/>
          <w:sz w:val="24"/>
          <w:szCs w:val="24"/>
        </w:rPr>
      </w:pPr>
      <w:r w:rsidRPr="004217FE">
        <w:rPr>
          <w:rFonts w:ascii="Times New Roman" w:eastAsia="Times New Roman" w:hAnsi="Times New Roman" w:cs="Times New Roman"/>
          <w:sz w:val="24"/>
          <w:szCs w:val="24"/>
        </w:rPr>
        <w:t xml:space="preserve">This work was supported by NSF grant EAR-0106257 to C.J.Y. We thank two anonymous reviewers and Jay </w:t>
      </w:r>
      <w:proofErr w:type="spellStart"/>
      <w:r w:rsidRPr="004217FE">
        <w:rPr>
          <w:rFonts w:ascii="Times New Roman" w:eastAsia="Times New Roman" w:hAnsi="Times New Roman" w:cs="Times New Roman"/>
          <w:sz w:val="24"/>
          <w:szCs w:val="24"/>
        </w:rPr>
        <w:t>Brandes</w:t>
      </w:r>
      <w:proofErr w:type="spellEnd"/>
      <w:r w:rsidRPr="004217FE">
        <w:rPr>
          <w:rFonts w:ascii="Times New Roman" w:eastAsia="Times New Roman" w:hAnsi="Times New Roman" w:cs="Times New Roman"/>
          <w:sz w:val="24"/>
          <w:szCs w:val="24"/>
        </w:rPr>
        <w:t xml:space="preserve"> for their thoughtful comments.</w:t>
      </w:r>
    </w:p>
    <w:p w:rsidR="00401666" w:rsidRDefault="00401666"/>
    <w:sectPr w:rsidR="00401666">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17FE"/>
    <w:rsid w:val="00401666"/>
    <w:rsid w:val="004217F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8823B8"/>
  <w15:chartTrackingRefBased/>
  <w15:docId w15:val="{03465448-0F70-4C78-8E1A-6B0BB16D58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69816692">
      <w:bodyDiv w:val="1"/>
      <w:marLeft w:val="0"/>
      <w:marRight w:val="0"/>
      <w:marTop w:val="0"/>
      <w:marBottom w:val="0"/>
      <w:divBdr>
        <w:top w:val="none" w:sz="0" w:space="0" w:color="auto"/>
        <w:left w:val="none" w:sz="0" w:space="0" w:color="auto"/>
        <w:bottom w:val="none" w:sz="0" w:space="0" w:color="auto"/>
        <w:right w:val="none" w:sz="0" w:space="0" w:color="auto"/>
      </w:divBdr>
      <w:divsChild>
        <w:div w:id="1507093076">
          <w:marLeft w:val="0"/>
          <w:marRight w:val="0"/>
          <w:marTop w:val="0"/>
          <w:marBottom w:val="0"/>
          <w:divBdr>
            <w:top w:val="none" w:sz="0" w:space="0" w:color="auto"/>
            <w:left w:val="none" w:sz="0" w:space="0" w:color="auto"/>
            <w:bottom w:val="none" w:sz="0" w:space="0" w:color="auto"/>
            <w:right w:val="none" w:sz="0" w:space="0" w:color="auto"/>
          </w:divBdr>
          <w:divsChild>
            <w:div w:id="1783569966">
              <w:marLeft w:val="0"/>
              <w:marRight w:val="0"/>
              <w:marTop w:val="0"/>
              <w:marBottom w:val="0"/>
              <w:divBdr>
                <w:top w:val="none" w:sz="0" w:space="0" w:color="auto"/>
                <w:left w:val="none" w:sz="0" w:space="0" w:color="auto"/>
                <w:bottom w:val="none" w:sz="0" w:space="0" w:color="auto"/>
                <w:right w:val="none" w:sz="0" w:space="0" w:color="auto"/>
              </w:divBdr>
              <w:divsChild>
                <w:div w:id="1130975951">
                  <w:marLeft w:val="0"/>
                  <w:marRight w:val="0"/>
                  <w:marTop w:val="0"/>
                  <w:marBottom w:val="0"/>
                  <w:divBdr>
                    <w:top w:val="none" w:sz="0" w:space="0" w:color="auto"/>
                    <w:left w:val="none" w:sz="0" w:space="0" w:color="auto"/>
                    <w:bottom w:val="none" w:sz="0" w:space="0" w:color="auto"/>
                    <w:right w:val="none" w:sz="0" w:space="0" w:color="auto"/>
                  </w:divBdr>
                  <w:divsChild>
                    <w:div w:id="56375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7072371">
          <w:marLeft w:val="0"/>
          <w:marRight w:val="0"/>
          <w:marTop w:val="0"/>
          <w:marBottom w:val="0"/>
          <w:divBdr>
            <w:top w:val="none" w:sz="0" w:space="0" w:color="auto"/>
            <w:left w:val="none" w:sz="0" w:space="0" w:color="auto"/>
            <w:bottom w:val="none" w:sz="0" w:space="0" w:color="auto"/>
            <w:right w:val="none" w:sz="0" w:space="0" w:color="auto"/>
          </w:divBdr>
          <w:divsChild>
            <w:div w:id="907496338">
              <w:marLeft w:val="0"/>
              <w:marRight w:val="0"/>
              <w:marTop w:val="0"/>
              <w:marBottom w:val="0"/>
              <w:divBdr>
                <w:top w:val="none" w:sz="0" w:space="0" w:color="auto"/>
                <w:left w:val="none" w:sz="0" w:space="0" w:color="auto"/>
                <w:bottom w:val="none" w:sz="0" w:space="0" w:color="auto"/>
                <w:right w:val="none" w:sz="0" w:space="0" w:color="auto"/>
              </w:divBdr>
              <w:divsChild>
                <w:div w:id="1315570576">
                  <w:marLeft w:val="0"/>
                  <w:marRight w:val="0"/>
                  <w:marTop w:val="0"/>
                  <w:marBottom w:val="0"/>
                  <w:divBdr>
                    <w:top w:val="none" w:sz="0" w:space="0" w:color="auto"/>
                    <w:left w:val="none" w:sz="0" w:space="0" w:color="auto"/>
                    <w:bottom w:val="none" w:sz="0" w:space="0" w:color="auto"/>
                    <w:right w:val="none" w:sz="0" w:space="0" w:color="auto"/>
                  </w:divBdr>
                  <w:divsChild>
                    <w:div w:id="1352414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1789513">
          <w:marLeft w:val="0"/>
          <w:marRight w:val="0"/>
          <w:marTop w:val="0"/>
          <w:marBottom w:val="0"/>
          <w:divBdr>
            <w:top w:val="none" w:sz="0" w:space="0" w:color="auto"/>
            <w:left w:val="none" w:sz="0" w:space="0" w:color="auto"/>
            <w:bottom w:val="none" w:sz="0" w:space="0" w:color="auto"/>
            <w:right w:val="none" w:sz="0" w:space="0" w:color="auto"/>
          </w:divBdr>
          <w:divsChild>
            <w:div w:id="2106413602">
              <w:marLeft w:val="0"/>
              <w:marRight w:val="0"/>
              <w:marTop w:val="0"/>
              <w:marBottom w:val="0"/>
              <w:divBdr>
                <w:top w:val="none" w:sz="0" w:space="0" w:color="auto"/>
                <w:left w:val="none" w:sz="0" w:space="0" w:color="auto"/>
                <w:bottom w:val="none" w:sz="0" w:space="0" w:color="auto"/>
                <w:right w:val="none" w:sz="0" w:space="0" w:color="auto"/>
              </w:divBdr>
            </w:div>
          </w:divsChild>
        </w:div>
        <w:div w:id="337739105">
          <w:marLeft w:val="0"/>
          <w:marRight w:val="0"/>
          <w:marTop w:val="0"/>
          <w:marBottom w:val="0"/>
          <w:divBdr>
            <w:top w:val="none" w:sz="0" w:space="0" w:color="auto"/>
            <w:left w:val="none" w:sz="0" w:space="0" w:color="auto"/>
            <w:bottom w:val="none" w:sz="0" w:space="0" w:color="auto"/>
            <w:right w:val="none" w:sz="0" w:space="0" w:color="auto"/>
          </w:divBdr>
          <w:divsChild>
            <w:div w:id="872571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ciencedirect.com/topics/earth-and-planetary-sciences/climate-variation" TargetMode="External"/><Relationship Id="rId3" Type="http://schemas.openxmlformats.org/officeDocument/2006/relationships/webSettings" Target="webSettings.xml"/><Relationship Id="rId7" Type="http://schemas.openxmlformats.org/officeDocument/2006/relationships/hyperlink" Target="https://www.sciencedirect.com/topics/earth-and-planetary-sciences/gibbsite"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sciencedirect.com/topics/earth-and-planetary-sciences/goethite" TargetMode="External"/><Relationship Id="rId5" Type="http://schemas.openxmlformats.org/officeDocument/2006/relationships/hyperlink" Target="https://www.sciencedirect.com/topics/earth-and-planetary-sciences/paleosol" TargetMode="External"/><Relationship Id="rId10" Type="http://schemas.openxmlformats.org/officeDocument/2006/relationships/theme" Target="theme/theme1.xml"/><Relationship Id="rId4" Type="http://schemas.openxmlformats.org/officeDocument/2006/relationships/hyperlink" Target="https://doi.org/10.1016/j.gca.2005.07.017" TargetMode="Externa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1014</Words>
  <Characters>5782</Characters>
  <Application>Microsoft Office Word</Application>
  <DocSecurity>0</DocSecurity>
  <Lines>48</Lines>
  <Paragraphs>13</Paragraphs>
  <ScaleCrop>false</ScaleCrop>
  <Company/>
  <LinksUpToDate>false</LinksUpToDate>
  <CharactersWithSpaces>6783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2023-11-11T04:13:00Z</dcterms:created>
  <dcterms:modified xsi:type="dcterms:W3CDTF">2023-11-11T04:13:00Z</dcterms:modified>
</cp:coreProperties>
</file>