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6B36CC" w:rsidRPr="006B36CC" w:rsidRDefault="006B36CC" w:rsidP="006B36CC">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6B36CC">
        <w:rPr>
          <w:rFonts w:ascii="Times New Roman" w:eastAsia="Times New Roman" w:hAnsi="Times New Roman" w:cs="Times New Roman"/>
          <w:b/>
          <w:bCs/>
          <w:kern w:val="36"/>
          <w:sz w:val="48"/>
          <w:szCs w:val="48"/>
        </w:rPr>
        <w:t>High-resolution δ</w:t>
      </w:r>
      <w:r w:rsidRPr="006B36CC">
        <w:rPr>
          <w:rFonts w:ascii="Times New Roman" w:eastAsia="Times New Roman" w:hAnsi="Times New Roman" w:cs="Times New Roman"/>
          <w:b/>
          <w:bCs/>
          <w:kern w:val="36"/>
          <w:sz w:val="48"/>
          <w:szCs w:val="48"/>
          <w:vertAlign w:val="superscript"/>
        </w:rPr>
        <w:t>13</w:t>
      </w:r>
      <w:r w:rsidRPr="006B36CC">
        <w:rPr>
          <w:rFonts w:ascii="Times New Roman" w:eastAsia="Times New Roman" w:hAnsi="Times New Roman" w:cs="Times New Roman"/>
          <w:b/>
          <w:bCs/>
          <w:kern w:val="36"/>
          <w:sz w:val="48"/>
          <w:szCs w:val="48"/>
        </w:rPr>
        <w:t xml:space="preserve">C </w:t>
      </w:r>
      <w:proofErr w:type="spellStart"/>
      <w:r w:rsidRPr="006B36CC">
        <w:rPr>
          <w:rFonts w:ascii="Times New Roman" w:eastAsia="Times New Roman" w:hAnsi="Times New Roman" w:cs="Times New Roman"/>
          <w:b/>
          <w:bCs/>
          <w:kern w:val="36"/>
          <w:sz w:val="48"/>
          <w:szCs w:val="48"/>
        </w:rPr>
        <w:t>intratooth</w:t>
      </w:r>
      <w:proofErr w:type="spellEnd"/>
      <w:r w:rsidRPr="006B36CC">
        <w:rPr>
          <w:rFonts w:ascii="Times New Roman" w:eastAsia="Times New Roman" w:hAnsi="Times New Roman" w:cs="Times New Roman"/>
          <w:b/>
          <w:bCs/>
          <w:kern w:val="36"/>
          <w:sz w:val="48"/>
          <w:szCs w:val="48"/>
        </w:rPr>
        <w:t xml:space="preserve"> profiles in bovine enamel: Implications for mineralization pattern and isotopic attenuation</w:t>
      </w:r>
    </w:p>
    <w:p w:rsidR="006B36CC" w:rsidRPr="006B36CC" w:rsidRDefault="006B36CC" w:rsidP="006B36CC">
      <w:pPr>
        <w:spacing w:after="0" w:line="240" w:lineRule="auto"/>
        <w:rPr>
          <w:rFonts w:ascii="Times New Roman" w:eastAsia="Times New Roman" w:hAnsi="Times New Roman" w:cs="Times New Roman"/>
          <w:sz w:val="24"/>
          <w:szCs w:val="24"/>
        </w:rPr>
      </w:pPr>
      <w:r w:rsidRPr="006B36CC">
        <w:rPr>
          <w:rFonts w:ascii="Times New Roman" w:eastAsia="Times New Roman" w:hAnsi="Times New Roman" w:cs="Times New Roman"/>
          <w:sz w:val="24"/>
          <w:szCs w:val="24"/>
        </w:rPr>
        <w:t>Author links open overlay panel</w:t>
      </w:r>
    </w:p>
    <w:p w:rsidR="006B36CC" w:rsidRPr="006B36CC" w:rsidRDefault="006B36CC" w:rsidP="006B36CC">
      <w:pPr>
        <w:spacing w:after="0" w:line="240" w:lineRule="auto"/>
        <w:rPr>
          <w:rFonts w:ascii="Times New Roman" w:eastAsia="Times New Roman" w:hAnsi="Times New Roman" w:cs="Times New Roman"/>
          <w:sz w:val="24"/>
          <w:szCs w:val="24"/>
        </w:rPr>
      </w:pPr>
      <w:r w:rsidRPr="006B36CC">
        <w:rPr>
          <w:rFonts w:ascii="Times New Roman" w:eastAsia="Times New Roman" w:hAnsi="Times New Roman" w:cs="Times New Roman"/>
          <w:sz w:val="24"/>
          <w:szCs w:val="24"/>
        </w:rPr>
        <w:t xml:space="preserve">, , </w:t>
      </w:r>
    </w:p>
    <w:p w:rsidR="006B36CC" w:rsidRPr="006B36CC" w:rsidRDefault="006B36CC" w:rsidP="006B36CC">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6B36CC">
          <w:rPr>
            <w:rFonts w:ascii="Times New Roman" w:eastAsia="Times New Roman" w:hAnsi="Times New Roman" w:cs="Times New Roman"/>
            <w:color w:val="0000FF"/>
            <w:sz w:val="24"/>
            <w:szCs w:val="24"/>
            <w:u w:val="single"/>
          </w:rPr>
          <w:t>https://doi.org/10.1016/j.gca.2005.02.031</w:t>
        </w:r>
      </w:hyperlink>
      <w:bookmarkStart w:id="0" w:name="_GoBack"/>
      <w:bookmarkEnd w:id="0"/>
      <w:r w:rsidRPr="006B36CC">
        <w:rPr>
          <w:rFonts w:ascii="Times New Roman" w:eastAsia="Times New Roman" w:hAnsi="Times New Roman" w:cs="Times New Roman"/>
          <w:sz w:val="24"/>
          <w:szCs w:val="24"/>
        </w:rPr>
        <w:t xml:space="preserve"> </w:t>
      </w:r>
    </w:p>
    <w:p w:rsidR="006B36CC" w:rsidRPr="006B36CC" w:rsidRDefault="006B36CC" w:rsidP="006B36CC">
      <w:pPr>
        <w:spacing w:before="100" w:beforeAutospacing="1" w:after="100" w:afterAutospacing="1" w:line="240" w:lineRule="auto"/>
        <w:outlineLvl w:val="1"/>
        <w:rPr>
          <w:rFonts w:ascii="Times New Roman" w:eastAsia="Times New Roman" w:hAnsi="Times New Roman" w:cs="Times New Roman"/>
          <w:b/>
          <w:bCs/>
          <w:sz w:val="36"/>
          <w:szCs w:val="36"/>
        </w:rPr>
      </w:pPr>
      <w:r w:rsidRPr="006B36CC">
        <w:rPr>
          <w:rFonts w:ascii="Times New Roman" w:eastAsia="Times New Roman" w:hAnsi="Times New Roman" w:cs="Times New Roman"/>
          <w:b/>
          <w:bCs/>
          <w:sz w:val="36"/>
          <w:szCs w:val="36"/>
        </w:rPr>
        <w:t>Abstract</w:t>
      </w:r>
    </w:p>
    <w:p w:rsidR="006B36CC" w:rsidRPr="006B36CC" w:rsidRDefault="006B36CC" w:rsidP="006B36CC">
      <w:pPr>
        <w:spacing w:before="100" w:beforeAutospacing="1" w:after="100" w:afterAutospacing="1" w:line="240" w:lineRule="auto"/>
        <w:rPr>
          <w:rFonts w:ascii="Times New Roman" w:eastAsia="Times New Roman" w:hAnsi="Times New Roman" w:cs="Times New Roman"/>
          <w:sz w:val="24"/>
          <w:szCs w:val="24"/>
        </w:rPr>
      </w:pPr>
      <w:r w:rsidRPr="006B36CC">
        <w:rPr>
          <w:rFonts w:ascii="Times New Roman" w:eastAsia="Times New Roman" w:hAnsi="Times New Roman" w:cs="Times New Roman"/>
          <w:sz w:val="24"/>
          <w:szCs w:val="24"/>
        </w:rPr>
        <w:t>We present the first high-resolution carbon isotope and carbonate content profiles generated through the thickness of enamel from a steer fed C</w:t>
      </w:r>
      <w:r w:rsidRPr="006B36CC">
        <w:rPr>
          <w:rFonts w:ascii="Times New Roman" w:eastAsia="Times New Roman" w:hAnsi="Times New Roman" w:cs="Times New Roman"/>
          <w:sz w:val="24"/>
          <w:szCs w:val="24"/>
          <w:vertAlign w:val="subscript"/>
        </w:rPr>
        <w:t>3</w:t>
      </w:r>
      <w:r w:rsidRPr="006B36CC">
        <w:rPr>
          <w:rFonts w:ascii="Times New Roman" w:eastAsia="Times New Roman" w:hAnsi="Times New Roman" w:cs="Times New Roman"/>
          <w:sz w:val="24"/>
          <w:szCs w:val="24"/>
        </w:rPr>
        <w:t>- then C</w:t>
      </w:r>
      <w:r w:rsidRPr="006B36CC">
        <w:rPr>
          <w:rFonts w:ascii="Times New Roman" w:eastAsia="Times New Roman" w:hAnsi="Times New Roman" w:cs="Times New Roman"/>
          <w:sz w:val="24"/>
          <w:szCs w:val="24"/>
          <w:vertAlign w:val="subscript"/>
        </w:rPr>
        <w:t>4</w:t>
      </w:r>
      <w:r w:rsidRPr="006B36CC">
        <w:rPr>
          <w:rFonts w:ascii="Times New Roman" w:eastAsia="Times New Roman" w:hAnsi="Times New Roman" w:cs="Times New Roman"/>
          <w:sz w:val="24"/>
          <w:szCs w:val="24"/>
        </w:rPr>
        <w:t xml:space="preserve">-dominant food. Carbonate contents decrease by </w:t>
      </w:r>
      <w:r w:rsidRPr="006B36CC">
        <w:rPr>
          <w:rFonts w:ascii="Cambria Math" w:eastAsia="Times New Roman" w:hAnsi="Cambria Math" w:cs="Cambria Math"/>
          <w:sz w:val="24"/>
          <w:szCs w:val="24"/>
        </w:rPr>
        <w:t>∼</w:t>
      </w:r>
      <w:r w:rsidRPr="006B36CC">
        <w:rPr>
          <w:rFonts w:ascii="Times New Roman" w:eastAsia="Times New Roman" w:hAnsi="Times New Roman" w:cs="Times New Roman"/>
          <w:sz w:val="24"/>
          <w:szCs w:val="24"/>
        </w:rPr>
        <w:t xml:space="preserve">2 </w:t>
      </w:r>
      <w:proofErr w:type="spellStart"/>
      <w:r w:rsidRPr="006B36CC">
        <w:rPr>
          <w:rFonts w:ascii="Times New Roman" w:eastAsia="Times New Roman" w:hAnsi="Times New Roman" w:cs="Times New Roman"/>
          <w:sz w:val="24"/>
          <w:szCs w:val="24"/>
        </w:rPr>
        <w:t>wt</w:t>
      </w:r>
      <w:proofErr w:type="spellEnd"/>
      <w:r w:rsidRPr="006B36CC">
        <w:rPr>
          <w:rFonts w:ascii="Times New Roman" w:eastAsia="Times New Roman" w:hAnsi="Times New Roman" w:cs="Times New Roman"/>
          <w:sz w:val="24"/>
          <w:szCs w:val="24"/>
        </w:rPr>
        <w:t>% from the enamel surface to the innermost enamel layer, and each carbon isotope profile shows a mixture of enamel portions mineralized over several months. Downward and outward increasing contribution of C</w:t>
      </w:r>
      <w:r w:rsidRPr="006B36CC">
        <w:rPr>
          <w:rFonts w:ascii="Times New Roman" w:eastAsia="Times New Roman" w:hAnsi="Times New Roman" w:cs="Times New Roman"/>
          <w:sz w:val="24"/>
          <w:szCs w:val="24"/>
          <w:vertAlign w:val="subscript"/>
        </w:rPr>
        <w:t>4</w:t>
      </w:r>
      <w:r w:rsidRPr="006B36CC">
        <w:rPr>
          <w:rFonts w:ascii="Times New Roman" w:eastAsia="Times New Roman" w:hAnsi="Times New Roman" w:cs="Times New Roman"/>
          <w:sz w:val="24"/>
          <w:szCs w:val="24"/>
        </w:rPr>
        <w:t xml:space="preserve"> food to the enamel δ</w:t>
      </w:r>
      <w:r w:rsidRPr="006B36CC">
        <w:rPr>
          <w:rFonts w:ascii="Times New Roman" w:eastAsia="Times New Roman" w:hAnsi="Times New Roman" w:cs="Times New Roman"/>
          <w:sz w:val="24"/>
          <w:szCs w:val="24"/>
          <w:vertAlign w:val="superscript"/>
        </w:rPr>
        <w:t>13</w:t>
      </w:r>
      <w:r w:rsidRPr="006B36CC">
        <w:rPr>
          <w:rFonts w:ascii="Times New Roman" w:eastAsia="Times New Roman" w:hAnsi="Times New Roman" w:cs="Times New Roman"/>
          <w:sz w:val="24"/>
          <w:szCs w:val="24"/>
        </w:rPr>
        <w:t xml:space="preserve">C values reveal two components of the mineralization gradient: a vertical component from the tip of the tooth crown to the neck, and a horizontal component from the enamel-dentine junction to the outer enamel. We use our results to infer mineralization parameters for bovines and to calculate expected isotopic attenuations for an array of environmental inputs and </w:t>
      </w:r>
      <w:proofErr w:type="spellStart"/>
      <w:r w:rsidRPr="006B36CC">
        <w:rPr>
          <w:rFonts w:ascii="Times New Roman" w:eastAsia="Times New Roman" w:hAnsi="Times New Roman" w:cs="Times New Roman"/>
          <w:sz w:val="24"/>
          <w:szCs w:val="24"/>
        </w:rPr>
        <w:t>microsampling</w:t>
      </w:r>
      <w:proofErr w:type="spellEnd"/>
      <w:r w:rsidRPr="006B36CC">
        <w:rPr>
          <w:rFonts w:ascii="Times New Roman" w:eastAsia="Times New Roman" w:hAnsi="Times New Roman" w:cs="Times New Roman"/>
          <w:sz w:val="24"/>
          <w:szCs w:val="24"/>
        </w:rPr>
        <w:t xml:space="preserve"> strategies, using the model developed by </w:t>
      </w:r>
      <w:proofErr w:type="spellStart"/>
      <w:r w:rsidRPr="006B36CC">
        <w:rPr>
          <w:rFonts w:ascii="Times New Roman" w:eastAsia="Times New Roman" w:hAnsi="Times New Roman" w:cs="Times New Roman"/>
          <w:sz w:val="24"/>
          <w:szCs w:val="24"/>
        </w:rPr>
        <w:t>Passey</w:t>
      </w:r>
      <w:proofErr w:type="spellEnd"/>
      <w:r w:rsidRPr="006B36CC">
        <w:rPr>
          <w:rFonts w:ascii="Times New Roman" w:eastAsia="Times New Roman" w:hAnsi="Times New Roman" w:cs="Times New Roman"/>
          <w:sz w:val="24"/>
          <w:szCs w:val="24"/>
        </w:rPr>
        <w:t xml:space="preserve"> and </w:t>
      </w:r>
      <w:proofErr w:type="spellStart"/>
      <w:r w:rsidRPr="006B36CC">
        <w:rPr>
          <w:rFonts w:ascii="Times New Roman" w:eastAsia="Times New Roman" w:hAnsi="Times New Roman" w:cs="Times New Roman"/>
          <w:sz w:val="24"/>
          <w:szCs w:val="24"/>
        </w:rPr>
        <w:t>Cerling</w:t>
      </w:r>
      <w:proofErr w:type="spellEnd"/>
      <w:r w:rsidRPr="006B36CC">
        <w:rPr>
          <w:rFonts w:ascii="Times New Roman" w:eastAsia="Times New Roman" w:hAnsi="Times New Roman" w:cs="Times New Roman"/>
          <w:sz w:val="24"/>
          <w:szCs w:val="24"/>
        </w:rPr>
        <w:t xml:space="preserve"> [</w:t>
      </w:r>
      <w:proofErr w:type="spellStart"/>
      <w:r w:rsidRPr="006B36CC">
        <w:rPr>
          <w:rFonts w:ascii="Times New Roman" w:eastAsia="Times New Roman" w:hAnsi="Times New Roman" w:cs="Times New Roman"/>
          <w:i/>
          <w:iCs/>
          <w:sz w:val="24"/>
          <w:szCs w:val="24"/>
        </w:rPr>
        <w:t>Geochim</w:t>
      </w:r>
      <w:proofErr w:type="spellEnd"/>
      <w:r w:rsidRPr="006B36CC">
        <w:rPr>
          <w:rFonts w:ascii="Times New Roman" w:eastAsia="Times New Roman" w:hAnsi="Times New Roman" w:cs="Times New Roman"/>
          <w:i/>
          <w:iCs/>
          <w:sz w:val="24"/>
          <w:szCs w:val="24"/>
        </w:rPr>
        <w:t xml:space="preserve">. </w:t>
      </w:r>
      <w:proofErr w:type="spellStart"/>
      <w:r w:rsidRPr="006B36CC">
        <w:rPr>
          <w:rFonts w:ascii="Times New Roman" w:eastAsia="Times New Roman" w:hAnsi="Times New Roman" w:cs="Times New Roman"/>
          <w:i/>
          <w:iCs/>
          <w:sz w:val="24"/>
          <w:szCs w:val="24"/>
        </w:rPr>
        <w:t>Cosmochim</w:t>
      </w:r>
      <w:proofErr w:type="spellEnd"/>
      <w:r w:rsidRPr="006B36CC">
        <w:rPr>
          <w:rFonts w:ascii="Times New Roman" w:eastAsia="Times New Roman" w:hAnsi="Times New Roman" w:cs="Times New Roman"/>
          <w:i/>
          <w:iCs/>
          <w:sz w:val="24"/>
          <w:szCs w:val="24"/>
        </w:rPr>
        <w:t>. Acta</w:t>
      </w:r>
      <w:r w:rsidRPr="006B36CC">
        <w:rPr>
          <w:rFonts w:ascii="Times New Roman" w:eastAsia="Times New Roman" w:hAnsi="Times New Roman" w:cs="Times New Roman"/>
          <w:sz w:val="24"/>
          <w:szCs w:val="24"/>
        </w:rPr>
        <w:t>. 66 (2002) 3225–3234]. Although it seems unlikely that any strategy will perfectly isolate discrete time slices, sampling the innermost enamel layer might offer the advantage of significantly reducing the isotope damping that would become independent of the structure of the input signal.</w:t>
      </w:r>
    </w:p>
    <w:p w:rsidR="006B36CC" w:rsidRPr="006B36CC" w:rsidRDefault="006B36CC" w:rsidP="006B36CC">
      <w:pPr>
        <w:spacing w:before="100" w:beforeAutospacing="1" w:after="100" w:afterAutospacing="1" w:line="240" w:lineRule="auto"/>
        <w:outlineLvl w:val="1"/>
        <w:rPr>
          <w:rFonts w:ascii="Times New Roman" w:eastAsia="Times New Roman" w:hAnsi="Times New Roman" w:cs="Times New Roman"/>
          <w:b/>
          <w:bCs/>
          <w:sz w:val="36"/>
          <w:szCs w:val="36"/>
        </w:rPr>
      </w:pPr>
      <w:r w:rsidRPr="006B36CC">
        <w:rPr>
          <w:rFonts w:ascii="Times New Roman" w:eastAsia="Times New Roman" w:hAnsi="Times New Roman" w:cs="Times New Roman"/>
          <w:b/>
          <w:bCs/>
          <w:sz w:val="36"/>
          <w:szCs w:val="36"/>
        </w:rPr>
        <w:t>Introduction</w:t>
      </w:r>
    </w:p>
    <w:p w:rsidR="006B36CC" w:rsidRPr="006B36CC" w:rsidRDefault="006B36CC" w:rsidP="006B36CC">
      <w:pPr>
        <w:spacing w:before="100" w:beforeAutospacing="1" w:after="100" w:afterAutospacing="1" w:line="240" w:lineRule="auto"/>
        <w:rPr>
          <w:rFonts w:ascii="Times New Roman" w:eastAsia="Times New Roman" w:hAnsi="Times New Roman" w:cs="Times New Roman"/>
          <w:sz w:val="24"/>
          <w:szCs w:val="24"/>
        </w:rPr>
      </w:pPr>
      <w:r w:rsidRPr="006B36CC">
        <w:rPr>
          <w:rFonts w:ascii="Times New Roman" w:eastAsia="Times New Roman" w:hAnsi="Times New Roman" w:cs="Times New Roman"/>
          <w:sz w:val="24"/>
          <w:szCs w:val="24"/>
        </w:rPr>
        <w:t xml:space="preserve">Stable isotope geochemistry has been extensively used to reconstruct rapid change in animal dietary habits, migration patterns, or past climate from hypsodont (high-crowned) tooth enamel (e.g., Fricke and O’Neil 1996, Kohn et al 1998, Sharp and </w:t>
      </w:r>
      <w:proofErr w:type="spellStart"/>
      <w:r w:rsidRPr="006B36CC">
        <w:rPr>
          <w:rFonts w:ascii="Times New Roman" w:eastAsia="Times New Roman" w:hAnsi="Times New Roman" w:cs="Times New Roman"/>
          <w:sz w:val="24"/>
          <w:szCs w:val="24"/>
        </w:rPr>
        <w:t>Cerling</w:t>
      </w:r>
      <w:proofErr w:type="spellEnd"/>
      <w:r w:rsidRPr="006B36CC">
        <w:rPr>
          <w:rFonts w:ascii="Times New Roman" w:eastAsia="Times New Roman" w:hAnsi="Times New Roman" w:cs="Times New Roman"/>
          <w:sz w:val="24"/>
          <w:szCs w:val="24"/>
        </w:rPr>
        <w:t xml:space="preserve"> 1998, </w:t>
      </w:r>
      <w:proofErr w:type="spellStart"/>
      <w:r w:rsidRPr="006B36CC">
        <w:rPr>
          <w:rFonts w:ascii="Times New Roman" w:eastAsia="Times New Roman" w:hAnsi="Times New Roman" w:cs="Times New Roman"/>
          <w:sz w:val="24"/>
          <w:szCs w:val="24"/>
        </w:rPr>
        <w:t>Gadbury</w:t>
      </w:r>
      <w:proofErr w:type="spellEnd"/>
      <w:r w:rsidRPr="006B36CC">
        <w:rPr>
          <w:rFonts w:ascii="Times New Roman" w:eastAsia="Times New Roman" w:hAnsi="Times New Roman" w:cs="Times New Roman"/>
          <w:sz w:val="24"/>
          <w:szCs w:val="24"/>
        </w:rPr>
        <w:t xml:space="preserve"> et al 2000, </w:t>
      </w:r>
      <w:proofErr w:type="spellStart"/>
      <w:r w:rsidRPr="006B36CC">
        <w:rPr>
          <w:rFonts w:ascii="Times New Roman" w:eastAsia="Times New Roman" w:hAnsi="Times New Roman" w:cs="Times New Roman"/>
          <w:sz w:val="24"/>
          <w:szCs w:val="24"/>
        </w:rPr>
        <w:t>Balasse</w:t>
      </w:r>
      <w:proofErr w:type="spellEnd"/>
      <w:r w:rsidRPr="006B36CC">
        <w:rPr>
          <w:rFonts w:ascii="Times New Roman" w:eastAsia="Times New Roman" w:hAnsi="Times New Roman" w:cs="Times New Roman"/>
          <w:sz w:val="24"/>
          <w:szCs w:val="24"/>
        </w:rPr>
        <w:t xml:space="preserve"> et al 2002, </w:t>
      </w:r>
      <w:proofErr w:type="spellStart"/>
      <w:r w:rsidRPr="006B36CC">
        <w:rPr>
          <w:rFonts w:ascii="Times New Roman" w:eastAsia="Times New Roman" w:hAnsi="Times New Roman" w:cs="Times New Roman"/>
          <w:sz w:val="24"/>
          <w:szCs w:val="24"/>
        </w:rPr>
        <w:t>Zazzo</w:t>
      </w:r>
      <w:proofErr w:type="spellEnd"/>
      <w:r w:rsidRPr="006B36CC">
        <w:rPr>
          <w:rFonts w:ascii="Times New Roman" w:eastAsia="Times New Roman" w:hAnsi="Times New Roman" w:cs="Times New Roman"/>
          <w:sz w:val="24"/>
          <w:szCs w:val="24"/>
        </w:rPr>
        <w:t xml:space="preserve"> et al 2002). In mammals like bovids and equids, tooth formation proceeds from the tip of the tooth crown (apex) to the neck (cervix) as teeth emerge, and tooth enamel is not remodeled once formed. As a result, enamel records environmental- and climatic-constrained changes in the isotope value of water or food ingested during tooth mineralization.</w:t>
      </w:r>
    </w:p>
    <w:p w:rsidR="006B36CC" w:rsidRPr="006B36CC" w:rsidRDefault="006B36CC" w:rsidP="006B36CC">
      <w:pPr>
        <w:spacing w:before="100" w:beforeAutospacing="1" w:after="100" w:afterAutospacing="1" w:line="240" w:lineRule="auto"/>
        <w:rPr>
          <w:rFonts w:ascii="Times New Roman" w:eastAsia="Times New Roman" w:hAnsi="Times New Roman" w:cs="Times New Roman"/>
          <w:sz w:val="24"/>
          <w:szCs w:val="24"/>
        </w:rPr>
      </w:pPr>
      <w:r w:rsidRPr="006B36CC">
        <w:rPr>
          <w:rFonts w:ascii="Times New Roman" w:eastAsia="Times New Roman" w:hAnsi="Times New Roman" w:cs="Times New Roman"/>
          <w:sz w:val="24"/>
          <w:szCs w:val="24"/>
        </w:rPr>
        <w:t>Pioneer work implicitly assumed that enamel grows by adding new material perpendicular to the tooth length axis, and that discrete amounts of time could be extracted from each individual tooth subsample. Serial microsamples have been collected by drilling or cutting segments perpendicular to the tooth length axis, each sample crossing all of the enamel thickness. But amelogenesis (tooth enamel formation) is a two-step process beginning with the rapid deposition of an organic-rich, mineral-poor matrix followed by a phase of progressive maturation that produces the fully mineralized enamel (</w:t>
      </w:r>
      <w:proofErr w:type="spellStart"/>
      <w:r w:rsidRPr="006B36CC">
        <w:rPr>
          <w:rFonts w:ascii="Times New Roman" w:eastAsia="Times New Roman" w:hAnsi="Times New Roman" w:cs="Times New Roman"/>
          <w:sz w:val="24"/>
          <w:szCs w:val="24"/>
        </w:rPr>
        <w:t>Weinmann</w:t>
      </w:r>
      <w:proofErr w:type="spellEnd"/>
      <w:r w:rsidRPr="006B36CC">
        <w:rPr>
          <w:rFonts w:ascii="Times New Roman" w:eastAsia="Times New Roman" w:hAnsi="Times New Roman" w:cs="Times New Roman"/>
          <w:sz w:val="24"/>
          <w:szCs w:val="24"/>
        </w:rPr>
        <w:t xml:space="preserve"> et al 1942, Suga et al 1970, Suga et al 1987, Suga 1979, Suga 1982, Sakae and Hirai 1982, Moss-</w:t>
      </w:r>
      <w:proofErr w:type="spellStart"/>
      <w:r w:rsidRPr="006B36CC">
        <w:rPr>
          <w:rFonts w:ascii="Times New Roman" w:eastAsia="Times New Roman" w:hAnsi="Times New Roman" w:cs="Times New Roman"/>
          <w:sz w:val="24"/>
          <w:szCs w:val="24"/>
        </w:rPr>
        <w:t>Salentijn</w:t>
      </w:r>
      <w:proofErr w:type="spellEnd"/>
      <w:r w:rsidRPr="006B36CC">
        <w:rPr>
          <w:rFonts w:ascii="Times New Roman" w:eastAsia="Times New Roman" w:hAnsi="Times New Roman" w:cs="Times New Roman"/>
          <w:sz w:val="24"/>
          <w:szCs w:val="24"/>
        </w:rPr>
        <w:t xml:space="preserve"> et al 1997). During the maturation stage, Suga 1979, Suga 1982 reported three mineralization fronts advancing in various directions, some of them subparallel to the enamel-dentine junction. Therefore, the amount of time required for completing mineralization might far exceeds the time of tooth growth. Consequently, instead of representing </w:t>
      </w:r>
      <w:r w:rsidRPr="006B36CC">
        <w:rPr>
          <w:rFonts w:ascii="Times New Roman" w:eastAsia="Times New Roman" w:hAnsi="Times New Roman" w:cs="Times New Roman"/>
          <w:sz w:val="24"/>
          <w:szCs w:val="24"/>
        </w:rPr>
        <w:lastRenderedPageBreak/>
        <w:t>discrete time slices, each enamel subsample extracted following the conventional method mixes enamel portions that were mineralized over a long period of time. This sampling strategy likely results in biases for reconstructing environmental and climatic variations.</w:t>
      </w:r>
    </w:p>
    <w:p w:rsidR="006B36CC" w:rsidRPr="006B36CC" w:rsidRDefault="006B36CC" w:rsidP="006B36CC">
      <w:pPr>
        <w:spacing w:before="100" w:beforeAutospacing="1" w:after="100" w:afterAutospacing="1" w:line="240" w:lineRule="auto"/>
        <w:rPr>
          <w:rFonts w:ascii="Times New Roman" w:eastAsia="Times New Roman" w:hAnsi="Times New Roman" w:cs="Times New Roman"/>
          <w:sz w:val="24"/>
          <w:szCs w:val="24"/>
        </w:rPr>
      </w:pPr>
      <w:r w:rsidRPr="006B36CC">
        <w:rPr>
          <w:rFonts w:ascii="Times New Roman" w:eastAsia="Times New Roman" w:hAnsi="Times New Roman" w:cs="Times New Roman"/>
          <w:sz w:val="24"/>
          <w:szCs w:val="24"/>
        </w:rPr>
        <w:t xml:space="preserve">As scientists became aware of this, the question arose as to how much time is actually represented by each horizontal tooth subsample. Determination of precise timing and geometry of enamel mineralization became critical for designing new collecting strategies and for modeling purposes (Fisher and Fox 1998, </w:t>
      </w:r>
      <w:proofErr w:type="spellStart"/>
      <w:r w:rsidRPr="006B36CC">
        <w:rPr>
          <w:rFonts w:ascii="Times New Roman" w:eastAsia="Times New Roman" w:hAnsi="Times New Roman" w:cs="Times New Roman"/>
          <w:sz w:val="24"/>
          <w:szCs w:val="24"/>
        </w:rPr>
        <w:t>Balasse</w:t>
      </w:r>
      <w:proofErr w:type="spellEnd"/>
      <w:r w:rsidRPr="006B36CC">
        <w:rPr>
          <w:rFonts w:ascii="Times New Roman" w:eastAsia="Times New Roman" w:hAnsi="Times New Roman" w:cs="Times New Roman"/>
          <w:sz w:val="24"/>
          <w:szCs w:val="24"/>
        </w:rPr>
        <w:t xml:space="preserve"> 2002, </w:t>
      </w:r>
      <w:proofErr w:type="spellStart"/>
      <w:r w:rsidRPr="006B36CC">
        <w:rPr>
          <w:rFonts w:ascii="Times New Roman" w:eastAsia="Times New Roman" w:hAnsi="Times New Roman" w:cs="Times New Roman"/>
          <w:sz w:val="24"/>
          <w:szCs w:val="24"/>
        </w:rPr>
        <w:t>Balasse</w:t>
      </w:r>
      <w:proofErr w:type="spellEnd"/>
      <w:r w:rsidRPr="006B36CC">
        <w:rPr>
          <w:rFonts w:ascii="Times New Roman" w:eastAsia="Times New Roman" w:hAnsi="Times New Roman" w:cs="Times New Roman"/>
          <w:sz w:val="24"/>
          <w:szCs w:val="24"/>
        </w:rPr>
        <w:t xml:space="preserve"> 2003, </w:t>
      </w:r>
      <w:proofErr w:type="spellStart"/>
      <w:r w:rsidRPr="006B36CC">
        <w:rPr>
          <w:rFonts w:ascii="Times New Roman" w:eastAsia="Times New Roman" w:hAnsi="Times New Roman" w:cs="Times New Roman"/>
          <w:sz w:val="24"/>
          <w:szCs w:val="24"/>
        </w:rPr>
        <w:t>Passey</w:t>
      </w:r>
      <w:proofErr w:type="spellEnd"/>
      <w:r w:rsidRPr="006B36CC">
        <w:rPr>
          <w:rFonts w:ascii="Times New Roman" w:eastAsia="Times New Roman" w:hAnsi="Times New Roman" w:cs="Times New Roman"/>
          <w:sz w:val="24"/>
          <w:szCs w:val="24"/>
        </w:rPr>
        <w:t xml:space="preserve"> and </w:t>
      </w:r>
      <w:proofErr w:type="spellStart"/>
      <w:r w:rsidRPr="006B36CC">
        <w:rPr>
          <w:rFonts w:ascii="Times New Roman" w:eastAsia="Times New Roman" w:hAnsi="Times New Roman" w:cs="Times New Roman"/>
          <w:sz w:val="24"/>
          <w:szCs w:val="24"/>
        </w:rPr>
        <w:t>Cerling</w:t>
      </w:r>
      <w:proofErr w:type="spellEnd"/>
      <w:r w:rsidRPr="006B36CC">
        <w:rPr>
          <w:rFonts w:ascii="Times New Roman" w:eastAsia="Times New Roman" w:hAnsi="Times New Roman" w:cs="Times New Roman"/>
          <w:sz w:val="24"/>
          <w:szCs w:val="24"/>
        </w:rPr>
        <w:t xml:space="preserve"> 2002). Unfortunately, incremental features in enamel (</w:t>
      </w:r>
      <w:proofErr w:type="spellStart"/>
      <w:r w:rsidRPr="006B36CC">
        <w:rPr>
          <w:rFonts w:ascii="Times New Roman" w:eastAsia="Times New Roman" w:hAnsi="Times New Roman" w:cs="Times New Roman"/>
          <w:sz w:val="24"/>
          <w:szCs w:val="24"/>
        </w:rPr>
        <w:t>Retzius</w:t>
      </w:r>
      <w:proofErr w:type="spellEnd"/>
      <w:r w:rsidRPr="006B36CC">
        <w:rPr>
          <w:rFonts w:ascii="Times New Roman" w:eastAsia="Times New Roman" w:hAnsi="Times New Roman" w:cs="Times New Roman"/>
          <w:sz w:val="24"/>
          <w:szCs w:val="24"/>
        </w:rPr>
        <w:t xml:space="preserve">’ striae, daily cross-striations) are not helpful for establishing more appropriate </w:t>
      </w:r>
      <w:proofErr w:type="spellStart"/>
      <w:r w:rsidRPr="006B36CC">
        <w:rPr>
          <w:rFonts w:ascii="Times New Roman" w:eastAsia="Times New Roman" w:hAnsi="Times New Roman" w:cs="Times New Roman"/>
          <w:sz w:val="24"/>
          <w:szCs w:val="24"/>
        </w:rPr>
        <w:t>microsampling</w:t>
      </w:r>
      <w:proofErr w:type="spellEnd"/>
      <w:r w:rsidRPr="006B36CC">
        <w:rPr>
          <w:rFonts w:ascii="Times New Roman" w:eastAsia="Times New Roman" w:hAnsi="Times New Roman" w:cs="Times New Roman"/>
          <w:sz w:val="24"/>
          <w:szCs w:val="24"/>
        </w:rPr>
        <w:t xml:space="preserve"> procedures because they form during the stage of matrix deposition, when little mineralization occurs. No visible growth feature is preserved from the maturation stage, and only radiographs of thin sections taken from developing teeth (Brown et al 1960, Hoppe et al 2004), or isotopic labeling (</w:t>
      </w:r>
      <w:proofErr w:type="spellStart"/>
      <w:r w:rsidRPr="006B36CC">
        <w:rPr>
          <w:rFonts w:ascii="Times New Roman" w:eastAsia="Times New Roman" w:hAnsi="Times New Roman" w:cs="Times New Roman"/>
          <w:sz w:val="24"/>
          <w:szCs w:val="24"/>
        </w:rPr>
        <w:t>Balasse</w:t>
      </w:r>
      <w:proofErr w:type="spellEnd"/>
      <w:r w:rsidRPr="006B36CC">
        <w:rPr>
          <w:rFonts w:ascii="Times New Roman" w:eastAsia="Times New Roman" w:hAnsi="Times New Roman" w:cs="Times New Roman"/>
          <w:sz w:val="24"/>
          <w:szCs w:val="24"/>
        </w:rPr>
        <w:t xml:space="preserve"> et al 2001, </w:t>
      </w:r>
      <w:proofErr w:type="spellStart"/>
      <w:r w:rsidRPr="006B36CC">
        <w:rPr>
          <w:rFonts w:ascii="Times New Roman" w:eastAsia="Times New Roman" w:hAnsi="Times New Roman" w:cs="Times New Roman"/>
          <w:sz w:val="24"/>
          <w:szCs w:val="24"/>
        </w:rPr>
        <w:t>Balasse</w:t>
      </w:r>
      <w:proofErr w:type="spellEnd"/>
      <w:r w:rsidRPr="006B36CC">
        <w:rPr>
          <w:rFonts w:ascii="Times New Roman" w:eastAsia="Times New Roman" w:hAnsi="Times New Roman" w:cs="Times New Roman"/>
          <w:sz w:val="24"/>
          <w:szCs w:val="24"/>
        </w:rPr>
        <w:t xml:space="preserve"> 2002), can help delineate the precise timing and geometry of enamel mineralization.</w:t>
      </w:r>
    </w:p>
    <w:p w:rsidR="006B36CC" w:rsidRPr="006B36CC" w:rsidRDefault="006B36CC" w:rsidP="006B36CC">
      <w:pPr>
        <w:spacing w:before="100" w:beforeAutospacing="1" w:after="100" w:afterAutospacing="1" w:line="240" w:lineRule="auto"/>
        <w:rPr>
          <w:rFonts w:ascii="Times New Roman" w:eastAsia="Times New Roman" w:hAnsi="Times New Roman" w:cs="Times New Roman"/>
          <w:sz w:val="24"/>
          <w:szCs w:val="24"/>
        </w:rPr>
      </w:pPr>
      <w:proofErr w:type="spellStart"/>
      <w:r w:rsidRPr="006B36CC">
        <w:rPr>
          <w:rFonts w:ascii="Times New Roman" w:eastAsia="Times New Roman" w:hAnsi="Times New Roman" w:cs="Times New Roman"/>
          <w:sz w:val="24"/>
          <w:szCs w:val="24"/>
        </w:rPr>
        <w:t>Passey</w:t>
      </w:r>
      <w:proofErr w:type="spellEnd"/>
      <w:r w:rsidRPr="006B36CC">
        <w:rPr>
          <w:rFonts w:ascii="Times New Roman" w:eastAsia="Times New Roman" w:hAnsi="Times New Roman" w:cs="Times New Roman"/>
          <w:sz w:val="24"/>
          <w:szCs w:val="24"/>
        </w:rPr>
        <w:t xml:space="preserve"> and </w:t>
      </w:r>
      <w:proofErr w:type="spellStart"/>
      <w:r w:rsidRPr="006B36CC">
        <w:rPr>
          <w:rFonts w:ascii="Times New Roman" w:eastAsia="Times New Roman" w:hAnsi="Times New Roman" w:cs="Times New Roman"/>
          <w:sz w:val="24"/>
          <w:szCs w:val="24"/>
        </w:rPr>
        <w:t>Cerling</w:t>
      </w:r>
      <w:proofErr w:type="spellEnd"/>
      <w:r w:rsidRPr="006B36CC">
        <w:rPr>
          <w:rFonts w:ascii="Times New Roman" w:eastAsia="Times New Roman" w:hAnsi="Times New Roman" w:cs="Times New Roman"/>
          <w:sz w:val="24"/>
          <w:szCs w:val="24"/>
        </w:rPr>
        <w:t xml:space="preserve"> (2002) presented a model that describes enamel mineralization in ungulates with ever-growing teeth. This model may be used to correct for the attenuation of the environmental isotopic signal occurring when using the conventional sampling procedure. This model, however, may not fully consider the complexity of the mineralization process (Brown et al 1960, Suga 1979, Suga 1982, Hoppe et al 2004). It is also unclear whether the model can accurately predict attenuation factors for hypsodont teeth with definite growth, which can only be tested by experiment. In addition, a better understanding of the spatial organization of enamel mineralization might help to establish the most appropriate </w:t>
      </w:r>
      <w:proofErr w:type="spellStart"/>
      <w:r w:rsidRPr="006B36CC">
        <w:rPr>
          <w:rFonts w:ascii="Times New Roman" w:eastAsia="Times New Roman" w:hAnsi="Times New Roman" w:cs="Times New Roman"/>
          <w:sz w:val="24"/>
          <w:szCs w:val="24"/>
        </w:rPr>
        <w:t>microsampling</w:t>
      </w:r>
      <w:proofErr w:type="spellEnd"/>
      <w:r w:rsidRPr="006B36CC">
        <w:rPr>
          <w:rFonts w:ascii="Times New Roman" w:eastAsia="Times New Roman" w:hAnsi="Times New Roman" w:cs="Times New Roman"/>
          <w:sz w:val="24"/>
          <w:szCs w:val="24"/>
        </w:rPr>
        <w:t xml:space="preserve"> strategy for optimizing the time resolution of sampling, and perhaps quantify the amount of time represented in each subsample.</w:t>
      </w:r>
    </w:p>
    <w:p w:rsidR="006B36CC" w:rsidRPr="006B36CC" w:rsidRDefault="006B36CC" w:rsidP="006B36CC">
      <w:pPr>
        <w:spacing w:before="100" w:beforeAutospacing="1" w:after="100" w:afterAutospacing="1" w:line="240" w:lineRule="auto"/>
        <w:rPr>
          <w:rFonts w:ascii="Times New Roman" w:eastAsia="Times New Roman" w:hAnsi="Times New Roman" w:cs="Times New Roman"/>
          <w:sz w:val="24"/>
          <w:szCs w:val="24"/>
        </w:rPr>
      </w:pPr>
      <w:r w:rsidRPr="006B36CC">
        <w:rPr>
          <w:rFonts w:ascii="Times New Roman" w:eastAsia="Times New Roman" w:hAnsi="Times New Roman" w:cs="Times New Roman"/>
          <w:sz w:val="24"/>
          <w:szCs w:val="24"/>
        </w:rPr>
        <w:t>This study represents an additional effort at addressing the problem of attenuation of environmental isotopic signals in growing enamel. Here we present the results of an experiment on steers (</w:t>
      </w:r>
      <w:r w:rsidRPr="006B36CC">
        <w:rPr>
          <w:rFonts w:ascii="Times New Roman" w:eastAsia="Times New Roman" w:hAnsi="Times New Roman" w:cs="Times New Roman"/>
          <w:i/>
          <w:iCs/>
          <w:sz w:val="24"/>
          <w:szCs w:val="24"/>
        </w:rPr>
        <w:t xml:space="preserve">Bos </w:t>
      </w:r>
      <w:proofErr w:type="spellStart"/>
      <w:r w:rsidRPr="006B36CC">
        <w:rPr>
          <w:rFonts w:ascii="Times New Roman" w:eastAsia="Times New Roman" w:hAnsi="Times New Roman" w:cs="Times New Roman"/>
          <w:i/>
          <w:iCs/>
          <w:sz w:val="24"/>
          <w:szCs w:val="24"/>
        </w:rPr>
        <w:t>taurus</w:t>
      </w:r>
      <w:proofErr w:type="spellEnd"/>
      <w:r w:rsidRPr="006B36CC">
        <w:rPr>
          <w:rFonts w:ascii="Times New Roman" w:eastAsia="Times New Roman" w:hAnsi="Times New Roman" w:cs="Times New Roman"/>
          <w:sz w:val="24"/>
          <w:szCs w:val="24"/>
        </w:rPr>
        <w:t>) fed C</w:t>
      </w:r>
      <w:r w:rsidRPr="006B36CC">
        <w:rPr>
          <w:rFonts w:ascii="Times New Roman" w:eastAsia="Times New Roman" w:hAnsi="Times New Roman" w:cs="Times New Roman"/>
          <w:sz w:val="24"/>
          <w:szCs w:val="24"/>
          <w:vertAlign w:val="subscript"/>
        </w:rPr>
        <w:t>3</w:t>
      </w:r>
      <w:r w:rsidRPr="006B36CC">
        <w:rPr>
          <w:rFonts w:ascii="Times New Roman" w:eastAsia="Times New Roman" w:hAnsi="Times New Roman" w:cs="Times New Roman"/>
          <w:sz w:val="24"/>
          <w:szCs w:val="24"/>
        </w:rPr>
        <w:t>- then C</w:t>
      </w:r>
      <w:r w:rsidRPr="006B36CC">
        <w:rPr>
          <w:rFonts w:ascii="Times New Roman" w:eastAsia="Times New Roman" w:hAnsi="Times New Roman" w:cs="Times New Roman"/>
          <w:sz w:val="24"/>
          <w:szCs w:val="24"/>
          <w:vertAlign w:val="subscript"/>
        </w:rPr>
        <w:t>4</w:t>
      </w:r>
      <w:r w:rsidRPr="006B36CC">
        <w:rPr>
          <w:rFonts w:ascii="Times New Roman" w:eastAsia="Times New Roman" w:hAnsi="Times New Roman" w:cs="Times New Roman"/>
          <w:sz w:val="24"/>
          <w:szCs w:val="24"/>
        </w:rPr>
        <w:t xml:space="preserve">-dominant food. Diets were changed during the tenth month of the animals’ life and the resulting isotopic change was recorded in their second molars. For the first time, </w:t>
      </w:r>
      <w:proofErr w:type="spellStart"/>
      <w:r w:rsidRPr="006B36CC">
        <w:rPr>
          <w:rFonts w:ascii="Times New Roman" w:eastAsia="Times New Roman" w:hAnsi="Times New Roman" w:cs="Times New Roman"/>
          <w:sz w:val="24"/>
          <w:szCs w:val="24"/>
        </w:rPr>
        <w:t>micromilling</w:t>
      </w:r>
      <w:proofErr w:type="spellEnd"/>
      <w:r w:rsidRPr="006B36CC">
        <w:rPr>
          <w:rFonts w:ascii="Times New Roman" w:eastAsia="Times New Roman" w:hAnsi="Times New Roman" w:cs="Times New Roman"/>
          <w:sz w:val="24"/>
          <w:szCs w:val="24"/>
        </w:rPr>
        <w:t xml:space="preserve"> techniques were used to explore the impact of the mineralization process on enamel isotope value at the micrometer scale, to produce a two-dimensional map of the enamel carbon isotope value. Coupling natural labeling with high precision </w:t>
      </w:r>
      <w:proofErr w:type="spellStart"/>
      <w:r w:rsidRPr="006B36CC">
        <w:rPr>
          <w:rFonts w:ascii="Times New Roman" w:eastAsia="Times New Roman" w:hAnsi="Times New Roman" w:cs="Times New Roman"/>
          <w:sz w:val="24"/>
          <w:szCs w:val="24"/>
        </w:rPr>
        <w:t>microsampling</w:t>
      </w:r>
      <w:proofErr w:type="spellEnd"/>
      <w:r w:rsidRPr="006B36CC">
        <w:rPr>
          <w:rFonts w:ascii="Times New Roman" w:eastAsia="Times New Roman" w:hAnsi="Times New Roman" w:cs="Times New Roman"/>
          <w:sz w:val="24"/>
          <w:szCs w:val="24"/>
        </w:rPr>
        <w:t xml:space="preserve"> should allow us to (1) test if the model presented by </w:t>
      </w:r>
      <w:proofErr w:type="spellStart"/>
      <w:r w:rsidRPr="006B36CC">
        <w:rPr>
          <w:rFonts w:ascii="Times New Roman" w:eastAsia="Times New Roman" w:hAnsi="Times New Roman" w:cs="Times New Roman"/>
          <w:sz w:val="24"/>
          <w:szCs w:val="24"/>
        </w:rPr>
        <w:t>Passey</w:t>
      </w:r>
      <w:proofErr w:type="spellEnd"/>
      <w:r w:rsidRPr="006B36CC">
        <w:rPr>
          <w:rFonts w:ascii="Times New Roman" w:eastAsia="Times New Roman" w:hAnsi="Times New Roman" w:cs="Times New Roman"/>
          <w:sz w:val="24"/>
          <w:szCs w:val="24"/>
        </w:rPr>
        <w:t xml:space="preserve"> and </w:t>
      </w:r>
      <w:proofErr w:type="spellStart"/>
      <w:r w:rsidRPr="006B36CC">
        <w:rPr>
          <w:rFonts w:ascii="Times New Roman" w:eastAsia="Times New Roman" w:hAnsi="Times New Roman" w:cs="Times New Roman"/>
          <w:sz w:val="24"/>
          <w:szCs w:val="24"/>
        </w:rPr>
        <w:t>Cerling</w:t>
      </w:r>
      <w:proofErr w:type="spellEnd"/>
      <w:r w:rsidRPr="006B36CC">
        <w:rPr>
          <w:rFonts w:ascii="Times New Roman" w:eastAsia="Times New Roman" w:hAnsi="Times New Roman" w:cs="Times New Roman"/>
          <w:sz w:val="24"/>
          <w:szCs w:val="24"/>
        </w:rPr>
        <w:t xml:space="preserve"> (2002) for ever growing teeth is applicable to bovid teeth with definite growth and (2) investigate whether alternative </w:t>
      </w:r>
      <w:proofErr w:type="spellStart"/>
      <w:r w:rsidRPr="006B36CC">
        <w:rPr>
          <w:rFonts w:ascii="Times New Roman" w:eastAsia="Times New Roman" w:hAnsi="Times New Roman" w:cs="Times New Roman"/>
          <w:sz w:val="24"/>
          <w:szCs w:val="24"/>
        </w:rPr>
        <w:t>microsampling</w:t>
      </w:r>
      <w:proofErr w:type="spellEnd"/>
      <w:r w:rsidRPr="006B36CC">
        <w:rPr>
          <w:rFonts w:ascii="Times New Roman" w:eastAsia="Times New Roman" w:hAnsi="Times New Roman" w:cs="Times New Roman"/>
          <w:sz w:val="24"/>
          <w:szCs w:val="24"/>
        </w:rPr>
        <w:t xml:space="preserve"> strategies might allow more accurate representation of environmental records to be reconstructed.</w:t>
      </w:r>
    </w:p>
    <w:p w:rsidR="006B36CC" w:rsidRPr="006B36CC" w:rsidRDefault="006B36CC" w:rsidP="006B36CC">
      <w:pPr>
        <w:spacing w:before="100" w:beforeAutospacing="1" w:after="100" w:afterAutospacing="1" w:line="240" w:lineRule="auto"/>
        <w:outlineLvl w:val="1"/>
        <w:rPr>
          <w:rFonts w:ascii="Times New Roman" w:eastAsia="Times New Roman" w:hAnsi="Times New Roman" w:cs="Times New Roman"/>
          <w:b/>
          <w:bCs/>
          <w:sz w:val="36"/>
          <w:szCs w:val="36"/>
        </w:rPr>
      </w:pPr>
      <w:r w:rsidRPr="006B36CC">
        <w:rPr>
          <w:rFonts w:ascii="Times New Roman" w:eastAsia="Times New Roman" w:hAnsi="Times New Roman" w:cs="Times New Roman"/>
          <w:b/>
          <w:bCs/>
          <w:sz w:val="36"/>
          <w:szCs w:val="36"/>
        </w:rPr>
        <w:t>Section snippets</w:t>
      </w:r>
    </w:p>
    <w:p w:rsidR="006B36CC" w:rsidRPr="006B36CC" w:rsidRDefault="006B36CC" w:rsidP="006B36CC">
      <w:pPr>
        <w:spacing w:before="100" w:beforeAutospacing="1" w:after="100" w:afterAutospacing="1" w:line="240" w:lineRule="auto"/>
        <w:outlineLvl w:val="1"/>
        <w:rPr>
          <w:rFonts w:ascii="Times New Roman" w:eastAsia="Times New Roman" w:hAnsi="Times New Roman" w:cs="Times New Roman"/>
          <w:b/>
          <w:bCs/>
          <w:sz w:val="36"/>
          <w:szCs w:val="36"/>
        </w:rPr>
      </w:pPr>
      <w:r w:rsidRPr="006B36CC">
        <w:rPr>
          <w:rFonts w:ascii="Times New Roman" w:eastAsia="Times New Roman" w:hAnsi="Times New Roman" w:cs="Times New Roman"/>
          <w:b/>
          <w:bCs/>
          <w:sz w:val="36"/>
          <w:szCs w:val="36"/>
        </w:rPr>
        <w:t>Material</w:t>
      </w:r>
    </w:p>
    <w:p w:rsidR="006B36CC" w:rsidRPr="006B36CC" w:rsidRDefault="006B36CC" w:rsidP="006B36CC">
      <w:pPr>
        <w:spacing w:before="100" w:beforeAutospacing="1" w:after="100" w:afterAutospacing="1" w:line="240" w:lineRule="auto"/>
        <w:rPr>
          <w:rFonts w:ascii="Times New Roman" w:eastAsia="Times New Roman" w:hAnsi="Times New Roman" w:cs="Times New Roman"/>
          <w:sz w:val="24"/>
          <w:szCs w:val="24"/>
        </w:rPr>
      </w:pPr>
      <w:r w:rsidRPr="006B36CC">
        <w:rPr>
          <w:rFonts w:ascii="Times New Roman" w:eastAsia="Times New Roman" w:hAnsi="Times New Roman" w:cs="Times New Roman"/>
          <w:sz w:val="24"/>
          <w:szCs w:val="24"/>
        </w:rPr>
        <w:t>This study was conducted on five steers (</w:t>
      </w:r>
      <w:r w:rsidRPr="006B36CC">
        <w:rPr>
          <w:rFonts w:ascii="Times New Roman" w:eastAsia="Times New Roman" w:hAnsi="Times New Roman" w:cs="Times New Roman"/>
          <w:i/>
          <w:iCs/>
          <w:sz w:val="24"/>
          <w:szCs w:val="24"/>
        </w:rPr>
        <w:t xml:space="preserve">Bos </w:t>
      </w:r>
      <w:proofErr w:type="spellStart"/>
      <w:r w:rsidRPr="006B36CC">
        <w:rPr>
          <w:rFonts w:ascii="Times New Roman" w:eastAsia="Times New Roman" w:hAnsi="Times New Roman" w:cs="Times New Roman"/>
          <w:i/>
          <w:iCs/>
          <w:sz w:val="24"/>
          <w:szCs w:val="24"/>
        </w:rPr>
        <w:t>taurus</w:t>
      </w:r>
      <w:proofErr w:type="spellEnd"/>
      <w:r w:rsidRPr="006B36CC">
        <w:rPr>
          <w:rFonts w:ascii="Times New Roman" w:eastAsia="Times New Roman" w:hAnsi="Times New Roman" w:cs="Times New Roman"/>
          <w:sz w:val="24"/>
          <w:szCs w:val="24"/>
        </w:rPr>
        <w:t>) raised on an experimental farm (</w:t>
      </w:r>
      <w:proofErr w:type="spellStart"/>
      <w:r w:rsidRPr="006B36CC">
        <w:rPr>
          <w:rFonts w:ascii="Times New Roman" w:eastAsia="Times New Roman" w:hAnsi="Times New Roman" w:cs="Times New Roman"/>
          <w:sz w:val="24"/>
          <w:szCs w:val="24"/>
        </w:rPr>
        <w:t>Ferme</w:t>
      </w:r>
      <w:proofErr w:type="spellEnd"/>
      <w:r w:rsidRPr="006B36CC">
        <w:rPr>
          <w:rFonts w:ascii="Times New Roman" w:eastAsia="Times New Roman" w:hAnsi="Times New Roman" w:cs="Times New Roman"/>
          <w:sz w:val="24"/>
          <w:szCs w:val="24"/>
        </w:rPr>
        <w:t xml:space="preserve"> </w:t>
      </w:r>
      <w:proofErr w:type="spellStart"/>
      <w:r w:rsidRPr="006B36CC">
        <w:rPr>
          <w:rFonts w:ascii="Times New Roman" w:eastAsia="Times New Roman" w:hAnsi="Times New Roman" w:cs="Times New Roman"/>
          <w:sz w:val="24"/>
          <w:szCs w:val="24"/>
        </w:rPr>
        <w:t>Expérimentale</w:t>
      </w:r>
      <w:proofErr w:type="spellEnd"/>
      <w:r w:rsidRPr="006B36CC">
        <w:rPr>
          <w:rFonts w:ascii="Times New Roman" w:eastAsia="Times New Roman" w:hAnsi="Times New Roman" w:cs="Times New Roman"/>
          <w:sz w:val="24"/>
          <w:szCs w:val="24"/>
        </w:rPr>
        <w:t xml:space="preserve"> des </w:t>
      </w:r>
      <w:proofErr w:type="spellStart"/>
      <w:r w:rsidRPr="006B36CC">
        <w:rPr>
          <w:rFonts w:ascii="Times New Roman" w:eastAsia="Times New Roman" w:hAnsi="Times New Roman" w:cs="Times New Roman"/>
          <w:sz w:val="24"/>
          <w:szCs w:val="24"/>
        </w:rPr>
        <w:t>Etablières</w:t>
      </w:r>
      <w:proofErr w:type="spellEnd"/>
      <w:r w:rsidRPr="006B36CC">
        <w:rPr>
          <w:rFonts w:ascii="Times New Roman" w:eastAsia="Times New Roman" w:hAnsi="Times New Roman" w:cs="Times New Roman"/>
          <w:sz w:val="24"/>
          <w:szCs w:val="24"/>
        </w:rPr>
        <w:t xml:space="preserve">, </w:t>
      </w:r>
      <w:proofErr w:type="spellStart"/>
      <w:r w:rsidRPr="006B36CC">
        <w:rPr>
          <w:rFonts w:ascii="Times New Roman" w:eastAsia="Times New Roman" w:hAnsi="Times New Roman" w:cs="Times New Roman"/>
          <w:sz w:val="24"/>
          <w:szCs w:val="24"/>
        </w:rPr>
        <w:t>Vendée</w:t>
      </w:r>
      <w:proofErr w:type="spellEnd"/>
      <w:r w:rsidRPr="006B36CC">
        <w:rPr>
          <w:rFonts w:ascii="Times New Roman" w:eastAsia="Times New Roman" w:hAnsi="Times New Roman" w:cs="Times New Roman"/>
          <w:sz w:val="24"/>
          <w:szCs w:val="24"/>
        </w:rPr>
        <w:t>, France), where diet was carefully controlled throughout life. Detailed records of diet management and composition were previously published, together with results from previous investigations on the isotopic record of diet change in the jawbone and teeth of the individuals (</w:t>
      </w:r>
      <w:proofErr w:type="spellStart"/>
      <w:r w:rsidRPr="006B36CC">
        <w:rPr>
          <w:rFonts w:ascii="Times New Roman" w:eastAsia="Times New Roman" w:hAnsi="Times New Roman" w:cs="Times New Roman"/>
          <w:sz w:val="24"/>
          <w:szCs w:val="24"/>
        </w:rPr>
        <w:t>Balasse</w:t>
      </w:r>
      <w:proofErr w:type="spellEnd"/>
      <w:r w:rsidRPr="006B36CC">
        <w:rPr>
          <w:rFonts w:ascii="Times New Roman" w:eastAsia="Times New Roman" w:hAnsi="Times New Roman" w:cs="Times New Roman"/>
          <w:sz w:val="24"/>
          <w:szCs w:val="24"/>
        </w:rPr>
        <w:t xml:space="preserve"> et al 1999, </w:t>
      </w:r>
      <w:proofErr w:type="spellStart"/>
      <w:r w:rsidRPr="006B36CC">
        <w:rPr>
          <w:rFonts w:ascii="Times New Roman" w:eastAsia="Times New Roman" w:hAnsi="Times New Roman" w:cs="Times New Roman"/>
          <w:sz w:val="24"/>
          <w:szCs w:val="24"/>
        </w:rPr>
        <w:t>Balasse</w:t>
      </w:r>
      <w:proofErr w:type="spellEnd"/>
      <w:r w:rsidRPr="006B36CC">
        <w:rPr>
          <w:rFonts w:ascii="Times New Roman" w:eastAsia="Times New Roman" w:hAnsi="Times New Roman" w:cs="Times New Roman"/>
          <w:sz w:val="24"/>
          <w:szCs w:val="24"/>
        </w:rPr>
        <w:t xml:space="preserve"> et al 2001, </w:t>
      </w:r>
      <w:proofErr w:type="spellStart"/>
      <w:r w:rsidRPr="006B36CC">
        <w:rPr>
          <w:rFonts w:ascii="Times New Roman" w:eastAsia="Times New Roman" w:hAnsi="Times New Roman" w:cs="Times New Roman"/>
          <w:sz w:val="24"/>
          <w:szCs w:val="24"/>
        </w:rPr>
        <w:t>Balasse</w:t>
      </w:r>
      <w:proofErr w:type="spellEnd"/>
      <w:r w:rsidRPr="006B36CC">
        <w:rPr>
          <w:rFonts w:ascii="Times New Roman" w:eastAsia="Times New Roman" w:hAnsi="Times New Roman" w:cs="Times New Roman"/>
          <w:sz w:val="24"/>
          <w:szCs w:val="24"/>
        </w:rPr>
        <w:t xml:space="preserve"> 2002). Calves were raised on a C</w:t>
      </w:r>
      <w:r w:rsidRPr="006B36CC">
        <w:rPr>
          <w:rFonts w:ascii="Times New Roman" w:eastAsia="Times New Roman" w:hAnsi="Times New Roman" w:cs="Times New Roman"/>
          <w:sz w:val="24"/>
          <w:szCs w:val="24"/>
          <w:vertAlign w:val="subscript"/>
        </w:rPr>
        <w:t>3</w:t>
      </w:r>
      <w:r w:rsidRPr="006B36CC">
        <w:rPr>
          <w:rFonts w:ascii="Times New Roman" w:eastAsia="Times New Roman" w:hAnsi="Times New Roman" w:cs="Times New Roman"/>
          <w:sz w:val="24"/>
          <w:szCs w:val="24"/>
        </w:rPr>
        <w:t>-based milk</w:t>
      </w:r>
    </w:p>
    <w:p w:rsidR="006B36CC" w:rsidRPr="006B36CC" w:rsidRDefault="006B36CC" w:rsidP="006B36CC">
      <w:pPr>
        <w:spacing w:before="100" w:beforeAutospacing="1" w:after="100" w:afterAutospacing="1" w:line="240" w:lineRule="auto"/>
        <w:outlineLvl w:val="1"/>
        <w:rPr>
          <w:rFonts w:ascii="Times New Roman" w:eastAsia="Times New Roman" w:hAnsi="Times New Roman" w:cs="Times New Roman"/>
          <w:b/>
          <w:bCs/>
          <w:sz w:val="36"/>
          <w:szCs w:val="36"/>
        </w:rPr>
      </w:pPr>
      <w:r w:rsidRPr="006B36CC">
        <w:rPr>
          <w:rFonts w:ascii="Times New Roman" w:eastAsia="Times New Roman" w:hAnsi="Times New Roman" w:cs="Times New Roman"/>
          <w:b/>
          <w:bCs/>
          <w:sz w:val="36"/>
          <w:szCs w:val="36"/>
        </w:rPr>
        <w:lastRenderedPageBreak/>
        <w:t>Results</w:t>
      </w:r>
    </w:p>
    <w:p w:rsidR="006B36CC" w:rsidRPr="006B36CC" w:rsidRDefault="006B36CC" w:rsidP="006B36CC">
      <w:pPr>
        <w:spacing w:before="100" w:beforeAutospacing="1" w:after="100" w:afterAutospacing="1" w:line="240" w:lineRule="auto"/>
        <w:rPr>
          <w:rFonts w:ascii="Times New Roman" w:eastAsia="Times New Roman" w:hAnsi="Times New Roman" w:cs="Times New Roman"/>
          <w:sz w:val="24"/>
          <w:szCs w:val="24"/>
        </w:rPr>
      </w:pPr>
      <w:r w:rsidRPr="006B36CC">
        <w:rPr>
          <w:rFonts w:ascii="Times New Roman" w:eastAsia="Times New Roman" w:hAnsi="Times New Roman" w:cs="Times New Roman"/>
          <w:sz w:val="24"/>
          <w:szCs w:val="24"/>
        </w:rPr>
        <w:t xml:space="preserve">Carbon isotope values from hand-milled subsamples in individuals V2 to V6 using the conventional sampling method are presented in Table 1 and Figure 2. Our results obtained on V3M2 mimic those from </w:t>
      </w:r>
      <w:proofErr w:type="spellStart"/>
      <w:r w:rsidRPr="006B36CC">
        <w:rPr>
          <w:rFonts w:ascii="Times New Roman" w:eastAsia="Times New Roman" w:hAnsi="Times New Roman" w:cs="Times New Roman"/>
          <w:sz w:val="24"/>
          <w:szCs w:val="24"/>
        </w:rPr>
        <w:t>Balasse</w:t>
      </w:r>
      <w:proofErr w:type="spellEnd"/>
      <w:r w:rsidRPr="006B36CC">
        <w:rPr>
          <w:rFonts w:ascii="Times New Roman" w:eastAsia="Times New Roman" w:hAnsi="Times New Roman" w:cs="Times New Roman"/>
          <w:sz w:val="24"/>
          <w:szCs w:val="24"/>
        </w:rPr>
        <w:t xml:space="preserve"> (2002) performed on the other lobe from the same specimen (Table 2), indicating that isotope profiles obtained in both laboratories can be directly compared. As observed in </w:t>
      </w:r>
      <w:proofErr w:type="spellStart"/>
      <w:r w:rsidRPr="006B36CC">
        <w:rPr>
          <w:rFonts w:ascii="Times New Roman" w:eastAsia="Times New Roman" w:hAnsi="Times New Roman" w:cs="Times New Roman"/>
          <w:sz w:val="24"/>
          <w:szCs w:val="24"/>
        </w:rPr>
        <w:t>Balasse</w:t>
      </w:r>
      <w:proofErr w:type="spellEnd"/>
      <w:r w:rsidRPr="006B36CC">
        <w:rPr>
          <w:rFonts w:ascii="Times New Roman" w:eastAsia="Times New Roman" w:hAnsi="Times New Roman" w:cs="Times New Roman"/>
          <w:sz w:val="24"/>
          <w:szCs w:val="24"/>
        </w:rPr>
        <w:t xml:space="preserve"> (2002), the sudden change in diet is reflected by a progressive increase in δ</w:t>
      </w:r>
      <w:r w:rsidRPr="006B36CC">
        <w:rPr>
          <w:rFonts w:ascii="Times New Roman" w:eastAsia="Times New Roman" w:hAnsi="Times New Roman" w:cs="Times New Roman"/>
          <w:sz w:val="24"/>
          <w:szCs w:val="24"/>
          <w:vertAlign w:val="superscript"/>
        </w:rPr>
        <w:t>13</w:t>
      </w:r>
      <w:r w:rsidRPr="006B36CC">
        <w:rPr>
          <w:rFonts w:ascii="Times New Roman" w:eastAsia="Times New Roman" w:hAnsi="Times New Roman" w:cs="Times New Roman"/>
          <w:sz w:val="24"/>
          <w:szCs w:val="24"/>
        </w:rPr>
        <w:t>C values along the tooth length</w:t>
      </w:r>
    </w:p>
    <w:p w:rsidR="006B36CC" w:rsidRPr="006B36CC" w:rsidRDefault="006B36CC" w:rsidP="006B36CC">
      <w:pPr>
        <w:spacing w:before="100" w:beforeAutospacing="1" w:after="100" w:afterAutospacing="1" w:line="240" w:lineRule="auto"/>
        <w:outlineLvl w:val="1"/>
        <w:rPr>
          <w:rFonts w:ascii="Times New Roman" w:eastAsia="Times New Roman" w:hAnsi="Times New Roman" w:cs="Times New Roman"/>
          <w:b/>
          <w:bCs/>
          <w:sz w:val="36"/>
          <w:szCs w:val="36"/>
        </w:rPr>
      </w:pPr>
      <w:r w:rsidRPr="006B36CC">
        <w:rPr>
          <w:rFonts w:ascii="Times New Roman" w:eastAsia="Times New Roman" w:hAnsi="Times New Roman" w:cs="Times New Roman"/>
          <w:b/>
          <w:bCs/>
          <w:sz w:val="36"/>
          <w:szCs w:val="36"/>
        </w:rPr>
        <w:t>Timing and geometry of mineralization in bovine enamel</w:t>
      </w:r>
    </w:p>
    <w:p w:rsidR="006B36CC" w:rsidRPr="006B36CC" w:rsidRDefault="006B36CC" w:rsidP="006B36CC">
      <w:pPr>
        <w:spacing w:before="100" w:beforeAutospacing="1" w:after="100" w:afterAutospacing="1" w:line="240" w:lineRule="auto"/>
        <w:rPr>
          <w:rFonts w:ascii="Times New Roman" w:eastAsia="Times New Roman" w:hAnsi="Times New Roman" w:cs="Times New Roman"/>
          <w:sz w:val="24"/>
          <w:szCs w:val="24"/>
        </w:rPr>
      </w:pPr>
      <w:r w:rsidRPr="006B36CC">
        <w:rPr>
          <w:rFonts w:ascii="Times New Roman" w:eastAsia="Times New Roman" w:hAnsi="Times New Roman" w:cs="Times New Roman"/>
          <w:sz w:val="24"/>
          <w:szCs w:val="24"/>
        </w:rPr>
        <w:t>We developed a two-dimensional map of V3M2 mineralization sequence based on the high-resolution profiles (Fig. 5A). δ</w:t>
      </w:r>
      <w:r w:rsidRPr="006B36CC">
        <w:rPr>
          <w:rFonts w:ascii="Times New Roman" w:eastAsia="Times New Roman" w:hAnsi="Times New Roman" w:cs="Times New Roman"/>
          <w:sz w:val="24"/>
          <w:szCs w:val="24"/>
          <w:vertAlign w:val="superscript"/>
        </w:rPr>
        <w:t>13</w:t>
      </w:r>
      <w:r w:rsidRPr="006B36CC">
        <w:rPr>
          <w:rFonts w:ascii="Times New Roman" w:eastAsia="Times New Roman" w:hAnsi="Times New Roman" w:cs="Times New Roman"/>
          <w:sz w:val="24"/>
          <w:szCs w:val="24"/>
        </w:rPr>
        <w:t>C values from each profile are used to calculate the fraction of enamel mineralized after the diet switch. Pre-diet-switch δ</w:t>
      </w:r>
      <w:r w:rsidRPr="006B36CC">
        <w:rPr>
          <w:rFonts w:ascii="Times New Roman" w:eastAsia="Times New Roman" w:hAnsi="Times New Roman" w:cs="Times New Roman"/>
          <w:sz w:val="24"/>
          <w:szCs w:val="24"/>
          <w:vertAlign w:val="superscript"/>
        </w:rPr>
        <w:t>13</w:t>
      </w:r>
      <w:r w:rsidRPr="006B36CC">
        <w:rPr>
          <w:rFonts w:ascii="Times New Roman" w:eastAsia="Times New Roman" w:hAnsi="Times New Roman" w:cs="Times New Roman"/>
          <w:sz w:val="24"/>
          <w:szCs w:val="24"/>
        </w:rPr>
        <w:t>C values are recorded in the innermost layer from the upper part of the crown, whereas δ</w:t>
      </w:r>
      <w:r w:rsidRPr="006B36CC">
        <w:rPr>
          <w:rFonts w:ascii="Times New Roman" w:eastAsia="Times New Roman" w:hAnsi="Times New Roman" w:cs="Times New Roman"/>
          <w:sz w:val="24"/>
          <w:szCs w:val="24"/>
          <w:vertAlign w:val="superscript"/>
        </w:rPr>
        <w:t>13</w:t>
      </w:r>
      <w:r w:rsidRPr="006B36CC">
        <w:rPr>
          <w:rFonts w:ascii="Times New Roman" w:eastAsia="Times New Roman" w:hAnsi="Times New Roman" w:cs="Times New Roman"/>
          <w:sz w:val="24"/>
          <w:szCs w:val="24"/>
        </w:rPr>
        <w:t>C values post-diet-switch are found in the outer layer from the lower part of the crown. Therefore, the mineralization gradient can be deconvolved into a vertical</w:t>
      </w:r>
    </w:p>
    <w:p w:rsidR="006B36CC" w:rsidRPr="006B36CC" w:rsidRDefault="006B36CC" w:rsidP="006B36CC">
      <w:pPr>
        <w:spacing w:before="100" w:beforeAutospacing="1" w:after="100" w:afterAutospacing="1" w:line="240" w:lineRule="auto"/>
        <w:outlineLvl w:val="1"/>
        <w:rPr>
          <w:rFonts w:ascii="Times New Roman" w:eastAsia="Times New Roman" w:hAnsi="Times New Roman" w:cs="Times New Roman"/>
          <w:b/>
          <w:bCs/>
          <w:sz w:val="36"/>
          <w:szCs w:val="36"/>
        </w:rPr>
      </w:pPr>
      <w:r w:rsidRPr="006B36CC">
        <w:rPr>
          <w:rFonts w:ascii="Times New Roman" w:eastAsia="Times New Roman" w:hAnsi="Times New Roman" w:cs="Times New Roman"/>
          <w:b/>
          <w:bCs/>
          <w:sz w:val="36"/>
          <w:szCs w:val="36"/>
        </w:rPr>
        <w:t>Conclusion</w:t>
      </w:r>
    </w:p>
    <w:p w:rsidR="006B36CC" w:rsidRPr="006B36CC" w:rsidRDefault="006B36CC" w:rsidP="006B36CC">
      <w:pPr>
        <w:spacing w:before="100" w:beforeAutospacing="1" w:after="100" w:afterAutospacing="1" w:line="240" w:lineRule="auto"/>
        <w:rPr>
          <w:rFonts w:ascii="Times New Roman" w:eastAsia="Times New Roman" w:hAnsi="Times New Roman" w:cs="Times New Roman"/>
          <w:sz w:val="24"/>
          <w:szCs w:val="24"/>
        </w:rPr>
      </w:pPr>
      <w:r w:rsidRPr="006B36CC">
        <w:rPr>
          <w:rFonts w:ascii="Times New Roman" w:eastAsia="Times New Roman" w:hAnsi="Times New Roman" w:cs="Times New Roman"/>
          <w:sz w:val="24"/>
          <w:szCs w:val="24"/>
        </w:rPr>
        <w:t xml:space="preserve">For the first time, high-resolution carbon isotope profiles have been generated within the enamel thickness using </w:t>
      </w:r>
      <w:proofErr w:type="spellStart"/>
      <w:r w:rsidRPr="006B36CC">
        <w:rPr>
          <w:rFonts w:ascii="Times New Roman" w:eastAsia="Times New Roman" w:hAnsi="Times New Roman" w:cs="Times New Roman"/>
          <w:sz w:val="24"/>
          <w:szCs w:val="24"/>
        </w:rPr>
        <w:t>micromilling</w:t>
      </w:r>
      <w:proofErr w:type="spellEnd"/>
      <w:r w:rsidRPr="006B36CC">
        <w:rPr>
          <w:rFonts w:ascii="Times New Roman" w:eastAsia="Times New Roman" w:hAnsi="Times New Roman" w:cs="Times New Roman"/>
          <w:sz w:val="24"/>
          <w:szCs w:val="24"/>
        </w:rPr>
        <w:t xml:space="preserve"> techniques. Our sampling strategy has been demonstrated as capable of identifying large variation in δ</w:t>
      </w:r>
      <w:r w:rsidRPr="006B36CC">
        <w:rPr>
          <w:rFonts w:ascii="Times New Roman" w:eastAsia="Times New Roman" w:hAnsi="Times New Roman" w:cs="Times New Roman"/>
          <w:sz w:val="24"/>
          <w:szCs w:val="24"/>
          <w:vertAlign w:val="superscript"/>
        </w:rPr>
        <w:t>13</w:t>
      </w:r>
      <w:r w:rsidRPr="006B36CC">
        <w:rPr>
          <w:rFonts w:ascii="Times New Roman" w:eastAsia="Times New Roman" w:hAnsi="Times New Roman" w:cs="Times New Roman"/>
          <w:sz w:val="24"/>
          <w:szCs w:val="24"/>
        </w:rPr>
        <w:t>C values (up to 8‰) within a single tooth slice, corresponding to the diet-switch experienced by a steer during tooth growth. Increasing δ</w:t>
      </w:r>
      <w:r w:rsidRPr="006B36CC">
        <w:rPr>
          <w:rFonts w:ascii="Times New Roman" w:eastAsia="Times New Roman" w:hAnsi="Times New Roman" w:cs="Times New Roman"/>
          <w:sz w:val="24"/>
          <w:szCs w:val="24"/>
          <w:vertAlign w:val="superscript"/>
        </w:rPr>
        <w:t>13</w:t>
      </w:r>
      <w:r w:rsidRPr="006B36CC">
        <w:rPr>
          <w:rFonts w:ascii="Times New Roman" w:eastAsia="Times New Roman" w:hAnsi="Times New Roman" w:cs="Times New Roman"/>
          <w:sz w:val="24"/>
          <w:szCs w:val="24"/>
        </w:rPr>
        <w:t>C values were found from the top of the crown to the root, and from the enamel-dentine junction to the outer enamel. Downward</w:t>
      </w:r>
    </w:p>
    <w:p w:rsidR="006B36CC" w:rsidRPr="006B36CC" w:rsidRDefault="006B36CC" w:rsidP="006B36CC">
      <w:pPr>
        <w:spacing w:before="100" w:beforeAutospacing="1" w:after="100" w:afterAutospacing="1" w:line="240" w:lineRule="auto"/>
        <w:outlineLvl w:val="1"/>
        <w:rPr>
          <w:rFonts w:ascii="Times New Roman" w:eastAsia="Times New Roman" w:hAnsi="Times New Roman" w:cs="Times New Roman"/>
          <w:b/>
          <w:bCs/>
          <w:sz w:val="36"/>
          <w:szCs w:val="36"/>
        </w:rPr>
      </w:pPr>
      <w:r w:rsidRPr="006B36CC">
        <w:rPr>
          <w:rFonts w:ascii="Times New Roman" w:eastAsia="Times New Roman" w:hAnsi="Times New Roman" w:cs="Times New Roman"/>
          <w:b/>
          <w:bCs/>
          <w:sz w:val="36"/>
          <w:szCs w:val="36"/>
        </w:rPr>
        <w:t>Acknowledgments</w:t>
      </w:r>
    </w:p>
    <w:p w:rsidR="006B36CC" w:rsidRPr="006B36CC" w:rsidRDefault="006B36CC" w:rsidP="006B36CC">
      <w:pPr>
        <w:spacing w:before="100" w:beforeAutospacing="1" w:after="100" w:afterAutospacing="1" w:line="240" w:lineRule="auto"/>
        <w:rPr>
          <w:rFonts w:ascii="Times New Roman" w:eastAsia="Times New Roman" w:hAnsi="Times New Roman" w:cs="Times New Roman"/>
          <w:sz w:val="24"/>
          <w:szCs w:val="24"/>
        </w:rPr>
      </w:pPr>
      <w:r w:rsidRPr="006B36CC">
        <w:rPr>
          <w:rFonts w:ascii="Times New Roman" w:eastAsia="Times New Roman" w:hAnsi="Times New Roman" w:cs="Times New Roman"/>
          <w:sz w:val="24"/>
          <w:szCs w:val="24"/>
        </w:rPr>
        <w:t xml:space="preserve">We would like to thank Elise Dufour, Tim </w:t>
      </w:r>
      <w:proofErr w:type="spellStart"/>
      <w:r w:rsidRPr="006B36CC">
        <w:rPr>
          <w:rFonts w:ascii="Times New Roman" w:eastAsia="Times New Roman" w:hAnsi="Times New Roman" w:cs="Times New Roman"/>
          <w:sz w:val="24"/>
          <w:szCs w:val="24"/>
        </w:rPr>
        <w:t>Prokopiuk</w:t>
      </w:r>
      <w:proofErr w:type="spellEnd"/>
      <w:r w:rsidRPr="006B36CC">
        <w:rPr>
          <w:rFonts w:ascii="Times New Roman" w:eastAsia="Times New Roman" w:hAnsi="Times New Roman" w:cs="Times New Roman"/>
          <w:sz w:val="24"/>
          <w:szCs w:val="24"/>
        </w:rPr>
        <w:t xml:space="preserve">, Blaine </w:t>
      </w:r>
      <w:proofErr w:type="spellStart"/>
      <w:r w:rsidRPr="006B36CC">
        <w:rPr>
          <w:rFonts w:ascii="Times New Roman" w:eastAsia="Times New Roman" w:hAnsi="Times New Roman" w:cs="Times New Roman"/>
          <w:sz w:val="24"/>
          <w:szCs w:val="24"/>
        </w:rPr>
        <w:t>Novakovski</w:t>
      </w:r>
      <w:proofErr w:type="spellEnd"/>
      <w:r w:rsidRPr="006B36CC">
        <w:rPr>
          <w:rFonts w:ascii="Times New Roman" w:eastAsia="Times New Roman" w:hAnsi="Times New Roman" w:cs="Times New Roman"/>
          <w:sz w:val="24"/>
          <w:szCs w:val="24"/>
        </w:rPr>
        <w:t xml:space="preserve">, and Chris Wurster for technical assistance at different stages of this research. We also express appreciation to Bruce Eglington, Chris </w:t>
      </w:r>
      <w:proofErr w:type="spellStart"/>
      <w:r w:rsidRPr="006B36CC">
        <w:rPr>
          <w:rFonts w:ascii="Times New Roman" w:eastAsia="Times New Roman" w:hAnsi="Times New Roman" w:cs="Times New Roman"/>
          <w:sz w:val="24"/>
          <w:szCs w:val="24"/>
        </w:rPr>
        <w:t>Holmden</w:t>
      </w:r>
      <w:proofErr w:type="spellEnd"/>
      <w:r w:rsidRPr="006B36CC">
        <w:rPr>
          <w:rFonts w:ascii="Times New Roman" w:eastAsia="Times New Roman" w:hAnsi="Times New Roman" w:cs="Times New Roman"/>
          <w:sz w:val="24"/>
          <w:szCs w:val="24"/>
        </w:rPr>
        <w:t xml:space="preserve">, and Chris Wurster for constructive comments of an earlier version of the manuscript. We also wish to acknowledge D. R. Cole, B. H. </w:t>
      </w:r>
      <w:proofErr w:type="spellStart"/>
      <w:r w:rsidRPr="006B36CC">
        <w:rPr>
          <w:rFonts w:ascii="Times New Roman" w:eastAsia="Times New Roman" w:hAnsi="Times New Roman" w:cs="Times New Roman"/>
          <w:sz w:val="24"/>
          <w:szCs w:val="24"/>
        </w:rPr>
        <w:t>Passey</w:t>
      </w:r>
      <w:proofErr w:type="spellEnd"/>
      <w:r w:rsidRPr="006B36CC">
        <w:rPr>
          <w:rFonts w:ascii="Times New Roman" w:eastAsia="Times New Roman" w:hAnsi="Times New Roman" w:cs="Times New Roman"/>
          <w:sz w:val="24"/>
          <w:szCs w:val="24"/>
        </w:rPr>
        <w:t xml:space="preserve">, D. L. Fox, and an anonymous reviewer for their thorough reviews. This research was supported by a grant from the </w:t>
      </w:r>
      <w:proofErr w:type="spellStart"/>
      <w:r w:rsidRPr="006B36CC">
        <w:rPr>
          <w:rFonts w:ascii="Times New Roman" w:eastAsia="Times New Roman" w:hAnsi="Times New Roman" w:cs="Times New Roman"/>
          <w:sz w:val="24"/>
          <w:szCs w:val="24"/>
        </w:rPr>
        <w:t>Fondation</w:t>
      </w:r>
      <w:proofErr w:type="spellEnd"/>
      <w:r w:rsidRPr="006B36CC">
        <w:rPr>
          <w:rFonts w:ascii="Times New Roman" w:eastAsia="Times New Roman" w:hAnsi="Times New Roman" w:cs="Times New Roman"/>
          <w:sz w:val="24"/>
          <w:szCs w:val="24"/>
        </w:rPr>
        <w:t xml:space="preserve"> Singer-Polignac to</w:t>
      </w:r>
    </w:p>
    <w:p w:rsidR="005B4197" w:rsidRDefault="005B4197"/>
    <w:sectPr w:rsidR="005B4197">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36CC"/>
    <w:rsid w:val="005B4197"/>
    <w:rsid w:val="006B36C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2783F7"/>
  <w15:chartTrackingRefBased/>
  <w15:docId w15:val="{F986A9EC-5182-4CA0-91F4-643728D4D1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98812990">
      <w:bodyDiv w:val="1"/>
      <w:marLeft w:val="0"/>
      <w:marRight w:val="0"/>
      <w:marTop w:val="0"/>
      <w:marBottom w:val="0"/>
      <w:divBdr>
        <w:top w:val="none" w:sz="0" w:space="0" w:color="auto"/>
        <w:left w:val="none" w:sz="0" w:space="0" w:color="auto"/>
        <w:bottom w:val="none" w:sz="0" w:space="0" w:color="auto"/>
        <w:right w:val="none" w:sz="0" w:space="0" w:color="auto"/>
      </w:divBdr>
      <w:divsChild>
        <w:div w:id="2045010133">
          <w:marLeft w:val="0"/>
          <w:marRight w:val="0"/>
          <w:marTop w:val="0"/>
          <w:marBottom w:val="0"/>
          <w:divBdr>
            <w:top w:val="none" w:sz="0" w:space="0" w:color="auto"/>
            <w:left w:val="none" w:sz="0" w:space="0" w:color="auto"/>
            <w:bottom w:val="none" w:sz="0" w:space="0" w:color="auto"/>
            <w:right w:val="none" w:sz="0" w:space="0" w:color="auto"/>
          </w:divBdr>
          <w:divsChild>
            <w:div w:id="1167280667">
              <w:marLeft w:val="0"/>
              <w:marRight w:val="0"/>
              <w:marTop w:val="0"/>
              <w:marBottom w:val="0"/>
              <w:divBdr>
                <w:top w:val="none" w:sz="0" w:space="0" w:color="auto"/>
                <w:left w:val="none" w:sz="0" w:space="0" w:color="auto"/>
                <w:bottom w:val="none" w:sz="0" w:space="0" w:color="auto"/>
                <w:right w:val="none" w:sz="0" w:space="0" w:color="auto"/>
              </w:divBdr>
              <w:divsChild>
                <w:div w:id="359361659">
                  <w:marLeft w:val="0"/>
                  <w:marRight w:val="0"/>
                  <w:marTop w:val="0"/>
                  <w:marBottom w:val="0"/>
                  <w:divBdr>
                    <w:top w:val="none" w:sz="0" w:space="0" w:color="auto"/>
                    <w:left w:val="none" w:sz="0" w:space="0" w:color="auto"/>
                    <w:bottom w:val="none" w:sz="0" w:space="0" w:color="auto"/>
                    <w:right w:val="none" w:sz="0" w:space="0" w:color="auto"/>
                  </w:divBdr>
                  <w:divsChild>
                    <w:div w:id="1795053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5652279">
          <w:marLeft w:val="0"/>
          <w:marRight w:val="0"/>
          <w:marTop w:val="0"/>
          <w:marBottom w:val="0"/>
          <w:divBdr>
            <w:top w:val="none" w:sz="0" w:space="0" w:color="auto"/>
            <w:left w:val="none" w:sz="0" w:space="0" w:color="auto"/>
            <w:bottom w:val="none" w:sz="0" w:space="0" w:color="auto"/>
            <w:right w:val="none" w:sz="0" w:space="0" w:color="auto"/>
          </w:divBdr>
          <w:divsChild>
            <w:div w:id="271399861">
              <w:marLeft w:val="0"/>
              <w:marRight w:val="0"/>
              <w:marTop w:val="0"/>
              <w:marBottom w:val="0"/>
              <w:divBdr>
                <w:top w:val="none" w:sz="0" w:space="0" w:color="auto"/>
                <w:left w:val="none" w:sz="0" w:space="0" w:color="auto"/>
                <w:bottom w:val="none" w:sz="0" w:space="0" w:color="auto"/>
                <w:right w:val="none" w:sz="0" w:space="0" w:color="auto"/>
              </w:divBdr>
              <w:divsChild>
                <w:div w:id="1607497400">
                  <w:marLeft w:val="0"/>
                  <w:marRight w:val="0"/>
                  <w:marTop w:val="0"/>
                  <w:marBottom w:val="0"/>
                  <w:divBdr>
                    <w:top w:val="none" w:sz="0" w:space="0" w:color="auto"/>
                    <w:left w:val="none" w:sz="0" w:space="0" w:color="auto"/>
                    <w:bottom w:val="none" w:sz="0" w:space="0" w:color="auto"/>
                    <w:right w:val="none" w:sz="0" w:space="0" w:color="auto"/>
                  </w:divBdr>
                  <w:divsChild>
                    <w:div w:id="1907841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7874517">
          <w:marLeft w:val="0"/>
          <w:marRight w:val="0"/>
          <w:marTop w:val="0"/>
          <w:marBottom w:val="0"/>
          <w:divBdr>
            <w:top w:val="none" w:sz="0" w:space="0" w:color="auto"/>
            <w:left w:val="none" w:sz="0" w:space="0" w:color="auto"/>
            <w:bottom w:val="none" w:sz="0" w:space="0" w:color="auto"/>
            <w:right w:val="none" w:sz="0" w:space="0" w:color="auto"/>
          </w:divBdr>
          <w:divsChild>
            <w:div w:id="889415263">
              <w:marLeft w:val="0"/>
              <w:marRight w:val="0"/>
              <w:marTop w:val="0"/>
              <w:marBottom w:val="0"/>
              <w:divBdr>
                <w:top w:val="none" w:sz="0" w:space="0" w:color="auto"/>
                <w:left w:val="none" w:sz="0" w:space="0" w:color="auto"/>
                <w:bottom w:val="none" w:sz="0" w:space="0" w:color="auto"/>
                <w:right w:val="none" w:sz="0" w:space="0" w:color="auto"/>
              </w:divBdr>
            </w:div>
          </w:divsChild>
        </w:div>
        <w:div w:id="692539767">
          <w:marLeft w:val="0"/>
          <w:marRight w:val="0"/>
          <w:marTop w:val="0"/>
          <w:marBottom w:val="0"/>
          <w:divBdr>
            <w:top w:val="none" w:sz="0" w:space="0" w:color="auto"/>
            <w:left w:val="none" w:sz="0" w:space="0" w:color="auto"/>
            <w:bottom w:val="none" w:sz="0" w:space="0" w:color="auto"/>
            <w:right w:val="none" w:sz="0" w:space="0" w:color="auto"/>
          </w:divBdr>
          <w:divsChild>
            <w:div w:id="1690985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doi.org/10.1016/j.gca.2005.02.03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1320</Words>
  <Characters>7529</Characters>
  <Application>Microsoft Office Word</Application>
  <DocSecurity>0</DocSecurity>
  <Lines>62</Lines>
  <Paragraphs>17</Paragraphs>
  <ScaleCrop>false</ScaleCrop>
  <Company/>
  <LinksUpToDate>false</LinksUpToDate>
  <CharactersWithSpaces>8832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2023-11-18T06:33:00Z</dcterms:created>
  <dcterms:modified xsi:type="dcterms:W3CDTF">2023-11-18T06:34:00Z</dcterms:modified>
</cp:coreProperties>
</file>