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169F7" w:rsidRPr="004169F7" w:rsidRDefault="004169F7" w:rsidP="004169F7">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4169F7">
        <w:rPr>
          <w:rFonts w:ascii="Times New Roman" w:eastAsia="Times New Roman" w:hAnsi="Times New Roman" w:cs="Times New Roman"/>
          <w:b/>
          <w:bCs/>
          <w:kern w:val="36"/>
          <w:sz w:val="48"/>
          <w:szCs w:val="48"/>
        </w:rPr>
        <w:t>Complex speleothem growth processes revealed by trace element mapping and scanning electron microscopy of annual layers</w:t>
      </w:r>
    </w:p>
    <w:p w:rsidR="004169F7" w:rsidRPr="004169F7" w:rsidRDefault="004169F7" w:rsidP="004169F7">
      <w:pPr>
        <w:spacing w:after="0"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Author links open overlay panel</w:t>
      </w:r>
    </w:p>
    <w:p w:rsidR="004169F7" w:rsidRPr="004169F7" w:rsidRDefault="004169F7" w:rsidP="004169F7">
      <w:pPr>
        <w:spacing w:after="0"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 xml:space="preserve">, , </w:t>
      </w:r>
    </w:p>
    <w:p w:rsidR="004169F7" w:rsidRPr="004169F7" w:rsidRDefault="004169F7" w:rsidP="004169F7">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4169F7">
          <w:rPr>
            <w:rFonts w:ascii="Times New Roman" w:eastAsia="Times New Roman" w:hAnsi="Times New Roman" w:cs="Times New Roman"/>
            <w:color w:val="0000FF"/>
            <w:sz w:val="24"/>
            <w:szCs w:val="24"/>
            <w:u w:val="single"/>
          </w:rPr>
          <w:t>https://doi.org/10.1016/j.gca.2005.06.008</w:t>
        </w:r>
      </w:hyperlink>
      <w:bookmarkStart w:id="0" w:name="_GoBack"/>
      <w:bookmarkEnd w:id="0"/>
      <w:r w:rsidRPr="004169F7">
        <w:rPr>
          <w:rFonts w:ascii="Times New Roman" w:eastAsia="Times New Roman" w:hAnsi="Times New Roman" w:cs="Times New Roman"/>
          <w:sz w:val="24"/>
          <w:szCs w:val="24"/>
        </w:rPr>
        <w:t xml:space="preserve"> </w:t>
      </w:r>
    </w:p>
    <w:p w:rsidR="004169F7" w:rsidRPr="004169F7" w:rsidRDefault="004169F7" w:rsidP="004169F7">
      <w:pPr>
        <w:spacing w:before="100" w:beforeAutospacing="1" w:after="100" w:afterAutospacing="1" w:line="240" w:lineRule="auto"/>
        <w:outlineLvl w:val="1"/>
        <w:rPr>
          <w:rFonts w:ascii="Times New Roman" w:eastAsia="Times New Roman" w:hAnsi="Times New Roman" w:cs="Times New Roman"/>
          <w:b/>
          <w:bCs/>
          <w:sz w:val="36"/>
          <w:szCs w:val="36"/>
        </w:rPr>
      </w:pPr>
      <w:r w:rsidRPr="004169F7">
        <w:rPr>
          <w:rFonts w:ascii="Times New Roman" w:eastAsia="Times New Roman" w:hAnsi="Times New Roman" w:cs="Times New Roman"/>
          <w:b/>
          <w:bCs/>
          <w:sz w:val="36"/>
          <w:szCs w:val="36"/>
        </w:rPr>
        <w:t>Abstract</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 xml:space="preserve">Closely-spaced transects measured by excimer laser ablation inductively-coupled plasma mass spectrometry (ELA-ICPMS) at 5 and 32 </w:t>
      </w:r>
      <w:proofErr w:type="spellStart"/>
      <w:r w:rsidRPr="004169F7">
        <w:rPr>
          <w:rFonts w:ascii="Times New Roman" w:eastAsia="Times New Roman" w:hAnsi="Times New Roman" w:cs="Times New Roman"/>
          <w:sz w:val="24"/>
          <w:szCs w:val="24"/>
        </w:rPr>
        <w:t>μm</w:t>
      </w:r>
      <w:proofErr w:type="spellEnd"/>
      <w:r w:rsidRPr="004169F7">
        <w:rPr>
          <w:rFonts w:ascii="Times New Roman" w:eastAsia="Times New Roman" w:hAnsi="Times New Roman" w:cs="Times New Roman"/>
          <w:sz w:val="24"/>
          <w:szCs w:val="24"/>
        </w:rPr>
        <w:t xml:space="preserve"> spatial resolution are used to generate trace element composition maps (Ba, Sr, Mg, U, Na, P and Al) from MND-S1, a previously studied modern </w:t>
      </w:r>
      <w:hyperlink r:id="rId5" w:tooltip="Learn more about stalagmite from ScienceDirect's AI-generated Topic Pages" w:history="1">
        <w:r w:rsidRPr="004169F7">
          <w:rPr>
            <w:rFonts w:ascii="Times New Roman" w:eastAsia="Times New Roman" w:hAnsi="Times New Roman" w:cs="Times New Roman"/>
            <w:color w:val="0000FF"/>
            <w:sz w:val="24"/>
            <w:szCs w:val="24"/>
            <w:u w:val="single"/>
          </w:rPr>
          <w:t>stalagmite</w:t>
        </w:r>
      </w:hyperlink>
      <w:r w:rsidRPr="004169F7">
        <w:rPr>
          <w:rFonts w:ascii="Times New Roman" w:eastAsia="Times New Roman" w:hAnsi="Times New Roman" w:cs="Times New Roman"/>
          <w:sz w:val="24"/>
          <w:szCs w:val="24"/>
        </w:rPr>
        <w:t xml:space="preserve"> from southwest Australia (</w:t>
      </w:r>
      <w:hyperlink r:id="rId6" w:anchor="bib29" w:history="1">
        <w:r w:rsidRPr="004169F7">
          <w:rPr>
            <w:rFonts w:ascii="Times New Roman" w:eastAsia="Times New Roman" w:hAnsi="Times New Roman" w:cs="Times New Roman"/>
            <w:color w:val="0000FF"/>
            <w:sz w:val="24"/>
            <w:szCs w:val="24"/>
            <w:u w:val="single"/>
          </w:rPr>
          <w:t>Treble et al., 2003</w:t>
        </w:r>
      </w:hyperlink>
      <w:r w:rsidRPr="004169F7">
        <w:rPr>
          <w:rFonts w:ascii="Times New Roman" w:eastAsia="Times New Roman" w:hAnsi="Times New Roman" w:cs="Times New Roman"/>
          <w:sz w:val="24"/>
          <w:szCs w:val="24"/>
        </w:rPr>
        <w:t xml:space="preserve">: </w:t>
      </w:r>
      <w:r w:rsidRPr="004169F7">
        <w:rPr>
          <w:rFonts w:ascii="Times New Roman" w:eastAsia="Times New Roman" w:hAnsi="Times New Roman" w:cs="Times New Roman"/>
          <w:i/>
          <w:iCs/>
          <w:sz w:val="24"/>
          <w:szCs w:val="24"/>
        </w:rPr>
        <w:t>EPSL</w:t>
      </w:r>
      <w:r w:rsidRPr="004169F7">
        <w:rPr>
          <w:rFonts w:ascii="Times New Roman" w:eastAsia="Times New Roman" w:hAnsi="Times New Roman" w:cs="Times New Roman"/>
          <w:sz w:val="24"/>
          <w:szCs w:val="24"/>
        </w:rPr>
        <w:t xml:space="preserve"> </w:t>
      </w:r>
      <w:r w:rsidRPr="004169F7">
        <w:rPr>
          <w:rFonts w:ascii="Times New Roman" w:eastAsia="Times New Roman" w:hAnsi="Times New Roman" w:cs="Times New Roman"/>
          <w:b/>
          <w:bCs/>
          <w:sz w:val="24"/>
          <w:szCs w:val="24"/>
        </w:rPr>
        <w:t>216</w:t>
      </w:r>
      <w:r w:rsidRPr="004169F7">
        <w:rPr>
          <w:rFonts w:ascii="Times New Roman" w:eastAsia="Times New Roman" w:hAnsi="Times New Roman" w:cs="Times New Roman"/>
          <w:sz w:val="24"/>
          <w:szCs w:val="24"/>
        </w:rPr>
        <w:t xml:space="preserve">: 141). Rainfall at the site is highly seasonal, and trace elements in MND-S1 show strong seasonal variation. Trace element maps show that Ba, Sr, U and Na concentrations coherently follow annual growth layers identified from Scanning Electron Microscopy (SEM) images. The SEM images also reveal that stalagmite growth did not proceed uniformly: growth layers vary in thickness and locally pinch out. Highly preferential crystal growth, determined by nucleation sites left by the previous year’s growth, may be responsible for this uneven growth layering. Differential crystal growth apparently causes variability of trace element concentrations along each annual layer, although additional </w:t>
      </w:r>
      <w:hyperlink r:id="rId7" w:tooltip="Learn more about disequilibrium from ScienceDirect's AI-generated Topic Pages" w:history="1">
        <w:r w:rsidRPr="004169F7">
          <w:rPr>
            <w:rFonts w:ascii="Times New Roman" w:eastAsia="Times New Roman" w:hAnsi="Times New Roman" w:cs="Times New Roman"/>
            <w:color w:val="0000FF"/>
            <w:sz w:val="24"/>
            <w:szCs w:val="24"/>
            <w:u w:val="single"/>
          </w:rPr>
          <w:t>disequilibrium</w:t>
        </w:r>
      </w:hyperlink>
      <w:r w:rsidRPr="004169F7">
        <w:rPr>
          <w:rFonts w:ascii="Times New Roman" w:eastAsia="Times New Roman" w:hAnsi="Times New Roman" w:cs="Times New Roman"/>
          <w:sz w:val="24"/>
          <w:szCs w:val="24"/>
        </w:rPr>
        <w:t xml:space="preserve"> processes affect Mg, which is less distinctly banded than Ba, Sr, U and Na. Uneven and discontinuous growth layers influence the number of annual cycles, their wavelengths and seasonal amplitudes measured in any one transect. This has clear implications for studies that use annual trace element cycles as chronological markers, growth rate or </w:t>
      </w:r>
      <w:hyperlink r:id="rId8" w:tooltip="Learn more about seasonality from ScienceDirect's AI-generated Topic Pages" w:history="1">
        <w:r w:rsidRPr="004169F7">
          <w:rPr>
            <w:rFonts w:ascii="Times New Roman" w:eastAsia="Times New Roman" w:hAnsi="Times New Roman" w:cs="Times New Roman"/>
            <w:color w:val="0000FF"/>
            <w:sz w:val="24"/>
            <w:szCs w:val="24"/>
            <w:u w:val="single"/>
          </w:rPr>
          <w:t>seasonality</w:t>
        </w:r>
      </w:hyperlink>
      <w:r w:rsidRPr="004169F7">
        <w:rPr>
          <w:rFonts w:ascii="Times New Roman" w:eastAsia="Times New Roman" w:hAnsi="Times New Roman" w:cs="Times New Roman"/>
          <w:sz w:val="24"/>
          <w:szCs w:val="24"/>
        </w:rPr>
        <w:t xml:space="preserve"> proxies.</w:t>
      </w:r>
    </w:p>
    <w:p w:rsidR="004169F7" w:rsidRPr="004169F7" w:rsidRDefault="004169F7" w:rsidP="004169F7">
      <w:pPr>
        <w:spacing w:before="100" w:beforeAutospacing="1" w:after="100" w:afterAutospacing="1" w:line="240" w:lineRule="auto"/>
        <w:outlineLvl w:val="1"/>
        <w:rPr>
          <w:rFonts w:ascii="Times New Roman" w:eastAsia="Times New Roman" w:hAnsi="Times New Roman" w:cs="Times New Roman"/>
          <w:b/>
          <w:bCs/>
          <w:sz w:val="36"/>
          <w:szCs w:val="36"/>
        </w:rPr>
      </w:pPr>
      <w:r w:rsidRPr="004169F7">
        <w:rPr>
          <w:rFonts w:ascii="Times New Roman" w:eastAsia="Times New Roman" w:hAnsi="Times New Roman" w:cs="Times New Roman"/>
          <w:b/>
          <w:bCs/>
          <w:sz w:val="36"/>
          <w:szCs w:val="36"/>
        </w:rPr>
        <w:t>Introduction</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 xml:space="preserve">The use of geochemical and other characteristics of speleothem annual layers as proxies for climate variation, growth rate and chronology </w:t>
      </w:r>
      <w:proofErr w:type="gramStart"/>
      <w:r w:rsidRPr="004169F7">
        <w:rPr>
          <w:rFonts w:ascii="Times New Roman" w:eastAsia="Times New Roman" w:hAnsi="Times New Roman" w:cs="Times New Roman"/>
          <w:sz w:val="24"/>
          <w:szCs w:val="24"/>
        </w:rPr>
        <w:t>is</w:t>
      </w:r>
      <w:proofErr w:type="gramEnd"/>
      <w:r w:rsidRPr="004169F7">
        <w:rPr>
          <w:rFonts w:ascii="Times New Roman" w:eastAsia="Times New Roman" w:hAnsi="Times New Roman" w:cs="Times New Roman"/>
          <w:sz w:val="24"/>
          <w:szCs w:val="24"/>
        </w:rPr>
        <w:t xml:space="preserve"> well established (</w:t>
      </w:r>
      <w:proofErr w:type="spellStart"/>
      <w:r w:rsidRPr="004169F7">
        <w:rPr>
          <w:rFonts w:ascii="Times New Roman" w:eastAsia="Times New Roman" w:hAnsi="Times New Roman" w:cs="Times New Roman"/>
          <w:sz w:val="24"/>
          <w:szCs w:val="24"/>
        </w:rPr>
        <w:t>Genty</w:t>
      </w:r>
      <w:proofErr w:type="spellEnd"/>
      <w:r w:rsidRPr="004169F7">
        <w:rPr>
          <w:rFonts w:ascii="Times New Roman" w:eastAsia="Times New Roman" w:hAnsi="Times New Roman" w:cs="Times New Roman"/>
          <w:sz w:val="24"/>
          <w:szCs w:val="24"/>
        </w:rPr>
        <w:t xml:space="preserve"> and </w:t>
      </w:r>
      <w:proofErr w:type="spellStart"/>
      <w:r w:rsidRPr="004169F7">
        <w:rPr>
          <w:rFonts w:ascii="Times New Roman" w:eastAsia="Times New Roman" w:hAnsi="Times New Roman" w:cs="Times New Roman"/>
          <w:sz w:val="24"/>
          <w:szCs w:val="24"/>
        </w:rPr>
        <w:t>Quinif</w:t>
      </w:r>
      <w:proofErr w:type="spellEnd"/>
      <w:r w:rsidRPr="004169F7">
        <w:rPr>
          <w:rFonts w:ascii="Times New Roman" w:eastAsia="Times New Roman" w:hAnsi="Times New Roman" w:cs="Times New Roman"/>
          <w:sz w:val="24"/>
          <w:szCs w:val="24"/>
        </w:rPr>
        <w:t xml:space="preserve"> 1996, </w:t>
      </w:r>
      <w:proofErr w:type="spellStart"/>
      <w:r w:rsidRPr="004169F7">
        <w:rPr>
          <w:rFonts w:ascii="Times New Roman" w:eastAsia="Times New Roman" w:hAnsi="Times New Roman" w:cs="Times New Roman"/>
          <w:sz w:val="24"/>
          <w:szCs w:val="24"/>
        </w:rPr>
        <w:t>Genty</w:t>
      </w:r>
      <w:proofErr w:type="spellEnd"/>
      <w:r w:rsidRPr="004169F7">
        <w:rPr>
          <w:rFonts w:ascii="Times New Roman" w:eastAsia="Times New Roman" w:hAnsi="Times New Roman" w:cs="Times New Roman"/>
          <w:sz w:val="24"/>
          <w:szCs w:val="24"/>
        </w:rPr>
        <w:t xml:space="preserve"> and </w:t>
      </w:r>
      <w:proofErr w:type="spellStart"/>
      <w:r w:rsidRPr="004169F7">
        <w:rPr>
          <w:rFonts w:ascii="Times New Roman" w:eastAsia="Times New Roman" w:hAnsi="Times New Roman" w:cs="Times New Roman"/>
          <w:sz w:val="24"/>
          <w:szCs w:val="24"/>
        </w:rPr>
        <w:t>Massault</w:t>
      </w:r>
      <w:proofErr w:type="spellEnd"/>
      <w:r w:rsidRPr="004169F7">
        <w:rPr>
          <w:rFonts w:ascii="Times New Roman" w:eastAsia="Times New Roman" w:hAnsi="Times New Roman" w:cs="Times New Roman"/>
          <w:sz w:val="24"/>
          <w:szCs w:val="24"/>
        </w:rPr>
        <w:t xml:space="preserve"> 1997, </w:t>
      </w:r>
      <w:proofErr w:type="spellStart"/>
      <w:r w:rsidRPr="004169F7">
        <w:rPr>
          <w:rFonts w:ascii="Times New Roman" w:eastAsia="Times New Roman" w:hAnsi="Times New Roman" w:cs="Times New Roman"/>
          <w:sz w:val="24"/>
          <w:szCs w:val="24"/>
        </w:rPr>
        <w:t>Genty</w:t>
      </w:r>
      <w:proofErr w:type="spellEnd"/>
      <w:r w:rsidRPr="004169F7">
        <w:rPr>
          <w:rFonts w:ascii="Times New Roman" w:eastAsia="Times New Roman" w:hAnsi="Times New Roman" w:cs="Times New Roman"/>
          <w:sz w:val="24"/>
          <w:szCs w:val="24"/>
        </w:rPr>
        <w:t xml:space="preserve"> and </w:t>
      </w:r>
      <w:proofErr w:type="spellStart"/>
      <w:r w:rsidRPr="004169F7">
        <w:rPr>
          <w:rFonts w:ascii="Times New Roman" w:eastAsia="Times New Roman" w:hAnsi="Times New Roman" w:cs="Times New Roman"/>
          <w:sz w:val="24"/>
          <w:szCs w:val="24"/>
        </w:rPr>
        <w:t>Massault</w:t>
      </w:r>
      <w:proofErr w:type="spellEnd"/>
      <w:r w:rsidRPr="004169F7">
        <w:rPr>
          <w:rFonts w:ascii="Times New Roman" w:eastAsia="Times New Roman" w:hAnsi="Times New Roman" w:cs="Times New Roman"/>
          <w:sz w:val="24"/>
          <w:szCs w:val="24"/>
        </w:rPr>
        <w:t xml:space="preserve"> 1999, Proctor et al 2000, </w:t>
      </w:r>
      <w:proofErr w:type="spellStart"/>
      <w:r w:rsidRPr="004169F7">
        <w:rPr>
          <w:rFonts w:ascii="Times New Roman" w:eastAsia="Times New Roman" w:hAnsi="Times New Roman" w:cs="Times New Roman"/>
          <w:sz w:val="24"/>
          <w:szCs w:val="24"/>
        </w:rPr>
        <w:t>Genty</w:t>
      </w:r>
      <w:proofErr w:type="spellEnd"/>
      <w:r w:rsidRPr="004169F7">
        <w:rPr>
          <w:rFonts w:ascii="Times New Roman" w:eastAsia="Times New Roman" w:hAnsi="Times New Roman" w:cs="Times New Roman"/>
          <w:sz w:val="24"/>
          <w:szCs w:val="24"/>
        </w:rPr>
        <w:t xml:space="preserve"> et al 2001, Proctor et al 2002, </w:t>
      </w:r>
      <w:proofErr w:type="spellStart"/>
      <w:r w:rsidRPr="004169F7">
        <w:rPr>
          <w:rFonts w:ascii="Times New Roman" w:eastAsia="Times New Roman" w:hAnsi="Times New Roman" w:cs="Times New Roman"/>
          <w:sz w:val="24"/>
          <w:szCs w:val="24"/>
        </w:rPr>
        <w:t>Frisia</w:t>
      </w:r>
      <w:proofErr w:type="spellEnd"/>
      <w:r w:rsidRPr="004169F7">
        <w:rPr>
          <w:rFonts w:ascii="Times New Roman" w:eastAsia="Times New Roman" w:hAnsi="Times New Roman" w:cs="Times New Roman"/>
          <w:sz w:val="24"/>
          <w:szCs w:val="24"/>
        </w:rPr>
        <w:t xml:space="preserve"> et al 2003). Annual layers are </w:t>
      </w:r>
      <w:proofErr w:type="spellStart"/>
      <w:r w:rsidRPr="004169F7">
        <w:rPr>
          <w:rFonts w:ascii="Times New Roman" w:eastAsia="Times New Roman" w:hAnsi="Times New Roman" w:cs="Times New Roman"/>
          <w:sz w:val="24"/>
          <w:szCs w:val="24"/>
        </w:rPr>
        <w:t>characterised</w:t>
      </w:r>
      <w:proofErr w:type="spellEnd"/>
      <w:r w:rsidRPr="004169F7">
        <w:rPr>
          <w:rFonts w:ascii="Times New Roman" w:eastAsia="Times New Roman" w:hAnsi="Times New Roman" w:cs="Times New Roman"/>
          <w:sz w:val="24"/>
          <w:szCs w:val="24"/>
        </w:rPr>
        <w:t xml:space="preserve"> by </w:t>
      </w:r>
      <w:proofErr w:type="spellStart"/>
      <w:r w:rsidRPr="004169F7">
        <w:rPr>
          <w:rFonts w:ascii="Times New Roman" w:eastAsia="Times New Roman" w:hAnsi="Times New Roman" w:cs="Times New Roman"/>
          <w:sz w:val="24"/>
          <w:szCs w:val="24"/>
        </w:rPr>
        <w:t>colour</w:t>
      </w:r>
      <w:proofErr w:type="spellEnd"/>
      <w:r w:rsidRPr="004169F7">
        <w:rPr>
          <w:rFonts w:ascii="Times New Roman" w:eastAsia="Times New Roman" w:hAnsi="Times New Roman" w:cs="Times New Roman"/>
          <w:sz w:val="24"/>
          <w:szCs w:val="24"/>
        </w:rPr>
        <w:t xml:space="preserve">, luminescence and/or petrographic variations produced by seasonal changes in drip water chemistry including foreign ion particles (Baker et al 1993, </w:t>
      </w:r>
      <w:proofErr w:type="spellStart"/>
      <w:r w:rsidRPr="004169F7">
        <w:rPr>
          <w:rFonts w:ascii="Times New Roman" w:eastAsia="Times New Roman" w:hAnsi="Times New Roman" w:cs="Times New Roman"/>
          <w:sz w:val="24"/>
          <w:szCs w:val="24"/>
        </w:rPr>
        <w:t>Genty</w:t>
      </w:r>
      <w:proofErr w:type="spellEnd"/>
      <w:r w:rsidRPr="004169F7">
        <w:rPr>
          <w:rFonts w:ascii="Times New Roman" w:eastAsia="Times New Roman" w:hAnsi="Times New Roman" w:cs="Times New Roman"/>
          <w:sz w:val="24"/>
          <w:szCs w:val="24"/>
        </w:rPr>
        <w:t xml:space="preserve"> and </w:t>
      </w:r>
      <w:proofErr w:type="spellStart"/>
      <w:r w:rsidRPr="004169F7">
        <w:rPr>
          <w:rFonts w:ascii="Times New Roman" w:eastAsia="Times New Roman" w:hAnsi="Times New Roman" w:cs="Times New Roman"/>
          <w:sz w:val="24"/>
          <w:szCs w:val="24"/>
        </w:rPr>
        <w:t>Quinif</w:t>
      </w:r>
      <w:proofErr w:type="spellEnd"/>
      <w:r w:rsidRPr="004169F7">
        <w:rPr>
          <w:rFonts w:ascii="Times New Roman" w:eastAsia="Times New Roman" w:hAnsi="Times New Roman" w:cs="Times New Roman"/>
          <w:sz w:val="24"/>
          <w:szCs w:val="24"/>
        </w:rPr>
        <w:t xml:space="preserve"> 1996, </w:t>
      </w:r>
      <w:proofErr w:type="spellStart"/>
      <w:r w:rsidRPr="004169F7">
        <w:rPr>
          <w:rFonts w:ascii="Times New Roman" w:eastAsia="Times New Roman" w:hAnsi="Times New Roman" w:cs="Times New Roman"/>
          <w:sz w:val="24"/>
          <w:szCs w:val="24"/>
        </w:rPr>
        <w:t>Frisia</w:t>
      </w:r>
      <w:proofErr w:type="spellEnd"/>
      <w:r w:rsidRPr="004169F7">
        <w:rPr>
          <w:rFonts w:ascii="Times New Roman" w:eastAsia="Times New Roman" w:hAnsi="Times New Roman" w:cs="Times New Roman"/>
          <w:sz w:val="24"/>
          <w:szCs w:val="24"/>
        </w:rPr>
        <w:t xml:space="preserve"> et al 2000). Measurement of annual geochemical cycles </w:t>
      </w:r>
      <w:proofErr w:type="gramStart"/>
      <w:r w:rsidRPr="004169F7">
        <w:rPr>
          <w:rFonts w:ascii="Times New Roman" w:eastAsia="Times New Roman" w:hAnsi="Times New Roman" w:cs="Times New Roman"/>
          <w:sz w:val="24"/>
          <w:szCs w:val="24"/>
        </w:rPr>
        <w:t>has</w:t>
      </w:r>
      <w:proofErr w:type="gramEnd"/>
      <w:r w:rsidRPr="004169F7">
        <w:rPr>
          <w:rFonts w:ascii="Times New Roman" w:eastAsia="Times New Roman" w:hAnsi="Times New Roman" w:cs="Times New Roman"/>
          <w:sz w:val="24"/>
          <w:szCs w:val="24"/>
        </w:rPr>
        <w:t xml:space="preserve"> greatly expanded the detailed multi-proxy information available from these layers. Potentially, annual geochemical cycles record climate-sensitive processes such as seasonal variations in soil/rock weathering (Roberts et al 1998, Fairchild et al 2001), ground surface bio-productivity (Huang et al 2001, </w:t>
      </w:r>
      <w:proofErr w:type="spellStart"/>
      <w:r w:rsidRPr="004169F7">
        <w:rPr>
          <w:rFonts w:ascii="Times New Roman" w:eastAsia="Times New Roman" w:hAnsi="Times New Roman" w:cs="Times New Roman"/>
          <w:sz w:val="24"/>
          <w:szCs w:val="24"/>
        </w:rPr>
        <w:t>Baldini</w:t>
      </w:r>
      <w:proofErr w:type="spellEnd"/>
      <w:r w:rsidRPr="004169F7">
        <w:rPr>
          <w:rFonts w:ascii="Times New Roman" w:eastAsia="Times New Roman" w:hAnsi="Times New Roman" w:cs="Times New Roman"/>
          <w:sz w:val="24"/>
          <w:szCs w:val="24"/>
        </w:rPr>
        <w:t xml:space="preserve"> et al 2002, Treble et al 2003) and rainfall (Finch et al 2003, Treble et al 2003, Treble et al 2005).</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The interest in speleothem annual geochemical cycles is largely attributable to the wider availability of high-resolution in situ measurement techniques such as secondary ionization mass spectrometry (SIMS), excimer laser ablation inductively-coupled plasma mass spectrometry (ELA-ICPMS) and synchrotron radiation (</w:t>
      </w:r>
      <w:proofErr w:type="spellStart"/>
      <w:r w:rsidRPr="004169F7">
        <w:rPr>
          <w:rFonts w:ascii="Times New Roman" w:eastAsia="Times New Roman" w:hAnsi="Times New Roman" w:cs="Times New Roman"/>
          <w:sz w:val="24"/>
          <w:szCs w:val="24"/>
        </w:rPr>
        <w:t>Kuczumow</w:t>
      </w:r>
      <w:proofErr w:type="spellEnd"/>
      <w:r w:rsidRPr="004169F7">
        <w:rPr>
          <w:rFonts w:ascii="Times New Roman" w:eastAsia="Times New Roman" w:hAnsi="Times New Roman" w:cs="Times New Roman"/>
          <w:sz w:val="24"/>
          <w:szCs w:val="24"/>
        </w:rPr>
        <w:t xml:space="preserve"> et al., 2003). Far smaller volumes of material are </w:t>
      </w:r>
      <w:proofErr w:type="spellStart"/>
      <w:r w:rsidRPr="004169F7">
        <w:rPr>
          <w:rFonts w:ascii="Times New Roman" w:eastAsia="Times New Roman" w:hAnsi="Times New Roman" w:cs="Times New Roman"/>
          <w:sz w:val="24"/>
          <w:szCs w:val="24"/>
        </w:rPr>
        <w:t>analysed</w:t>
      </w:r>
      <w:proofErr w:type="spellEnd"/>
      <w:r w:rsidRPr="004169F7">
        <w:rPr>
          <w:rFonts w:ascii="Times New Roman" w:eastAsia="Times New Roman" w:hAnsi="Times New Roman" w:cs="Times New Roman"/>
          <w:sz w:val="24"/>
          <w:szCs w:val="24"/>
        </w:rPr>
        <w:t xml:space="preserve"> using in situ techniques and correspondingly, very detailed geochemical records are produced. However, </w:t>
      </w:r>
      <w:r w:rsidRPr="004169F7">
        <w:rPr>
          <w:rFonts w:ascii="Times New Roman" w:eastAsia="Times New Roman" w:hAnsi="Times New Roman" w:cs="Times New Roman"/>
          <w:sz w:val="24"/>
          <w:szCs w:val="24"/>
        </w:rPr>
        <w:lastRenderedPageBreak/>
        <w:t>studies have predominantly been based upon 1 or 2 linear transects that do not critically examine the reproducibility of the measurements. There are a few exceptions: Roberts et al. (1998), using a 0.15 × 0.15 mm SIMS imaging aperture, found Sr concentrations cycled consistently with annual layers in a Scottish speleothem while Finch et al. (2003) found more complex relationships between parallel tracks for a South African speleothem. Finch et al. constructed a 0.3 × 0.3 mm map of Sr concentrations from interpolated SIMS data and showed that Sr concentrations did not form the expected consistent banding that would represent a systematic incorporation of a seasonal Sr signal into the speleothem annual growth layers. They suggested that disequilibrium growth zoning of aragonite crystallites was responsible for the observed heterogeneity but a detailed comparison between the Sr map and the crystal structure was not presented.</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In this study, we find two-dimensional structure in trace element composition in an annually-layered speleothem mapped using ELA-ICPMS. This has obvious implications for the accuracy of climate proxies constructed from one-dimensional linear transects. Moreover, the processes responsible for such two-dimensional structure remain to be established. Hence, we have examined the geochemical relationship between trace element variations, visible banding, and fine-scale crystal structure in a well-</w:t>
      </w:r>
      <w:proofErr w:type="spellStart"/>
      <w:r w:rsidRPr="004169F7">
        <w:rPr>
          <w:rFonts w:ascii="Times New Roman" w:eastAsia="Times New Roman" w:hAnsi="Times New Roman" w:cs="Times New Roman"/>
          <w:sz w:val="24"/>
          <w:szCs w:val="24"/>
        </w:rPr>
        <w:t>characterised</w:t>
      </w:r>
      <w:proofErr w:type="spellEnd"/>
      <w:r w:rsidRPr="004169F7">
        <w:rPr>
          <w:rFonts w:ascii="Times New Roman" w:eastAsia="Times New Roman" w:hAnsi="Times New Roman" w:cs="Times New Roman"/>
          <w:sz w:val="24"/>
          <w:szCs w:val="24"/>
        </w:rPr>
        <w:t xml:space="preserve"> modern stalagmite, MND-S1, from </w:t>
      </w:r>
      <w:proofErr w:type="spellStart"/>
      <w:r w:rsidRPr="004169F7">
        <w:rPr>
          <w:rFonts w:ascii="Times New Roman" w:eastAsia="Times New Roman" w:hAnsi="Times New Roman" w:cs="Times New Roman"/>
          <w:sz w:val="24"/>
          <w:szCs w:val="24"/>
        </w:rPr>
        <w:t>Moondyne</w:t>
      </w:r>
      <w:proofErr w:type="spellEnd"/>
      <w:r w:rsidRPr="004169F7">
        <w:rPr>
          <w:rFonts w:ascii="Times New Roman" w:eastAsia="Times New Roman" w:hAnsi="Times New Roman" w:cs="Times New Roman"/>
          <w:sz w:val="24"/>
          <w:szCs w:val="24"/>
        </w:rPr>
        <w:t xml:space="preserve"> Cave in southwest Australia.</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 xml:space="preserve">The trace element, O and C isotope records from MND-S1 were published by Treble et al 2003, Treble et al 2005). Treble et al. (2003) compared the trace element data from MND-S1 with the instrumental rainfall record by amalgamating eleven parallel transects, measured by ELA-ICPMS, each 32 </w:t>
      </w:r>
      <w:proofErr w:type="spellStart"/>
      <w:r w:rsidRPr="004169F7">
        <w:rPr>
          <w:rFonts w:ascii="Times New Roman" w:eastAsia="Times New Roman" w:hAnsi="Times New Roman" w:cs="Times New Roman"/>
          <w:sz w:val="24"/>
          <w:szCs w:val="24"/>
        </w:rPr>
        <w:t>μm</w:t>
      </w:r>
      <w:proofErr w:type="spellEnd"/>
      <w:r w:rsidRPr="004169F7">
        <w:rPr>
          <w:rFonts w:ascii="Times New Roman" w:eastAsia="Times New Roman" w:hAnsi="Times New Roman" w:cs="Times New Roman"/>
          <w:sz w:val="24"/>
          <w:szCs w:val="24"/>
        </w:rPr>
        <w:t xml:space="preserve"> wide and approximately 15 </w:t>
      </w:r>
      <w:proofErr w:type="spellStart"/>
      <w:r w:rsidRPr="004169F7">
        <w:rPr>
          <w:rFonts w:ascii="Times New Roman" w:eastAsia="Times New Roman" w:hAnsi="Times New Roman" w:cs="Times New Roman"/>
          <w:sz w:val="24"/>
          <w:szCs w:val="24"/>
        </w:rPr>
        <w:t>μm</w:t>
      </w:r>
      <w:proofErr w:type="spellEnd"/>
      <w:r w:rsidRPr="004169F7">
        <w:rPr>
          <w:rFonts w:ascii="Times New Roman" w:eastAsia="Times New Roman" w:hAnsi="Times New Roman" w:cs="Times New Roman"/>
          <w:sz w:val="24"/>
          <w:szCs w:val="24"/>
        </w:rPr>
        <w:t xml:space="preserve"> apart, along the growth axis, into a composite record. Distinct cycles were evident in each of the eleven individual transects and these cycles could generally be matched between transects (Fig. 1 shows two transects of Ba concentration). However, some cycles could not be matched between transects, because of double or missing peaks (Fig. 1), which suggests that the stalagmite growth process may interfere with the preservation of the trace element signal. To investigate this, we mapped trace element concentrations (Ba, Sr, U, Mg, P, Na and Al) using interpolated ELA-ICPMS data. In this article we compare the trace element composition maps with detailed scanning electron microscopy (SEM) images of growth layers in the stalagmite, to </w:t>
      </w:r>
      <w:proofErr w:type="spellStart"/>
      <w:r w:rsidRPr="004169F7">
        <w:rPr>
          <w:rFonts w:ascii="Times New Roman" w:eastAsia="Times New Roman" w:hAnsi="Times New Roman" w:cs="Times New Roman"/>
          <w:sz w:val="24"/>
          <w:szCs w:val="24"/>
        </w:rPr>
        <w:t>characterise</w:t>
      </w:r>
      <w:proofErr w:type="spellEnd"/>
      <w:r w:rsidRPr="004169F7">
        <w:rPr>
          <w:rFonts w:ascii="Times New Roman" w:eastAsia="Times New Roman" w:hAnsi="Times New Roman" w:cs="Times New Roman"/>
          <w:sz w:val="24"/>
          <w:szCs w:val="24"/>
        </w:rPr>
        <w:t xml:space="preserve"> the nature of these mis-matched cycles.</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 xml:space="preserve">Stalagmite MND-S1 was taken from a boardwalk in </w:t>
      </w:r>
      <w:proofErr w:type="spellStart"/>
      <w:r w:rsidRPr="004169F7">
        <w:rPr>
          <w:rFonts w:ascii="Times New Roman" w:eastAsia="Times New Roman" w:hAnsi="Times New Roman" w:cs="Times New Roman"/>
          <w:sz w:val="24"/>
          <w:szCs w:val="24"/>
        </w:rPr>
        <w:t>Moondyne</w:t>
      </w:r>
      <w:proofErr w:type="spellEnd"/>
      <w:r w:rsidRPr="004169F7">
        <w:rPr>
          <w:rFonts w:ascii="Times New Roman" w:eastAsia="Times New Roman" w:hAnsi="Times New Roman" w:cs="Times New Roman"/>
          <w:sz w:val="24"/>
          <w:szCs w:val="24"/>
        </w:rPr>
        <w:t xml:space="preserve"> Cave in southwestern Australia. The boardwalk was in place from 1911 to 1992 and the age of MND-S1 thus is precisely known. MND-S1 is an ideal stalagmite for investigating the consistency of trace element banding because rainfall in southwestern Australia is strongly seasonal, with over 80% falling between May and October. Mean annual rainfall is approximately 1000 mm, and annual evapotranspiration is 750 mm, with winter monthly evapotranspiration rates of 30 mm/month and summer rates of 100 mm/month (Wang et al., 2001). The transfer of this winter rainfall through the relatively thin roof of </w:t>
      </w:r>
      <w:proofErr w:type="spellStart"/>
      <w:r w:rsidRPr="004169F7">
        <w:rPr>
          <w:rFonts w:ascii="Times New Roman" w:eastAsia="Times New Roman" w:hAnsi="Times New Roman" w:cs="Times New Roman"/>
          <w:sz w:val="24"/>
          <w:szCs w:val="24"/>
        </w:rPr>
        <w:t>Moondyne</w:t>
      </w:r>
      <w:proofErr w:type="spellEnd"/>
      <w:r w:rsidRPr="004169F7">
        <w:rPr>
          <w:rFonts w:ascii="Times New Roman" w:eastAsia="Times New Roman" w:hAnsi="Times New Roman" w:cs="Times New Roman"/>
          <w:sz w:val="24"/>
          <w:szCs w:val="24"/>
        </w:rPr>
        <w:t xml:space="preserve"> Cave (15–20 m thick) produces distinct trace element cycles in Ba, Sr, U, Mg, P and Na of approximately 0.2–0.4 mm wavelength, the total being equivalent to the number of years the boardwalk upon which MND-S1 grew was in the cave. Treble et al. (2003) described the annual trace element cycles and demonstrated that annually averaged P, U and Mg concentrations in MND-S1 responded to a sustained decrease in regional rainfall that began in the late 1960s and which has persisted to the present. Of these elements, P most systematically recorded the rainfall decrease and closely mimicked both the sub-decadal and seasonal rainfall variations throughout the record. Groundwater P may have also influenced the positive relationship between U and rainfall owing to the strong affinity between phosphate and uranyl ions. Mg showed an inverse relationship with rainfall, both on the intra- and inter-annual scale. Higher Mg in summer and dry years was attributed to larger amounts of calcite precipitated from solution prior to seepage water reaching MND-S1 </w:t>
      </w:r>
      <w:r w:rsidRPr="004169F7">
        <w:rPr>
          <w:rFonts w:ascii="Times New Roman" w:eastAsia="Times New Roman" w:hAnsi="Times New Roman" w:cs="Times New Roman"/>
          <w:sz w:val="24"/>
          <w:szCs w:val="24"/>
        </w:rPr>
        <w:lastRenderedPageBreak/>
        <w:t xml:space="preserve">resulting in relatively Mg enriched drip water. Ba, Sr and Na were argued to be driven by speleothem growth rate due to the similar trends between the inter-annual concentrations of these ions and growth rate. It was not possible to collect regular drip water from </w:t>
      </w:r>
      <w:proofErr w:type="spellStart"/>
      <w:r w:rsidRPr="004169F7">
        <w:rPr>
          <w:rFonts w:ascii="Times New Roman" w:eastAsia="Times New Roman" w:hAnsi="Times New Roman" w:cs="Times New Roman"/>
          <w:sz w:val="24"/>
          <w:szCs w:val="24"/>
        </w:rPr>
        <w:t>Moondyne</w:t>
      </w:r>
      <w:proofErr w:type="spellEnd"/>
      <w:r w:rsidRPr="004169F7">
        <w:rPr>
          <w:rFonts w:ascii="Times New Roman" w:eastAsia="Times New Roman" w:hAnsi="Times New Roman" w:cs="Times New Roman"/>
          <w:sz w:val="24"/>
          <w:szCs w:val="24"/>
        </w:rPr>
        <w:t xml:space="preserve"> Cave apart from one occasion in June 2002.</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proofErr w:type="spellStart"/>
      <w:r w:rsidRPr="004169F7">
        <w:rPr>
          <w:rFonts w:ascii="Times New Roman" w:eastAsia="Times New Roman" w:hAnsi="Times New Roman" w:cs="Times New Roman"/>
          <w:sz w:val="24"/>
          <w:szCs w:val="24"/>
        </w:rPr>
        <w:t>Moondyne</w:t>
      </w:r>
      <w:proofErr w:type="spellEnd"/>
      <w:r w:rsidRPr="004169F7">
        <w:rPr>
          <w:rFonts w:ascii="Times New Roman" w:eastAsia="Times New Roman" w:hAnsi="Times New Roman" w:cs="Times New Roman"/>
          <w:sz w:val="24"/>
          <w:szCs w:val="24"/>
        </w:rPr>
        <w:t xml:space="preserve"> Cave is developed in Pleistocene calcarenite limestone that forms a ridge between Cape </w:t>
      </w:r>
      <w:proofErr w:type="spellStart"/>
      <w:r w:rsidRPr="004169F7">
        <w:rPr>
          <w:rFonts w:ascii="Times New Roman" w:eastAsia="Times New Roman" w:hAnsi="Times New Roman" w:cs="Times New Roman"/>
          <w:sz w:val="24"/>
          <w:szCs w:val="24"/>
        </w:rPr>
        <w:t>Leeuwin</w:t>
      </w:r>
      <w:proofErr w:type="spellEnd"/>
      <w:r w:rsidRPr="004169F7">
        <w:rPr>
          <w:rFonts w:ascii="Times New Roman" w:eastAsia="Times New Roman" w:hAnsi="Times New Roman" w:cs="Times New Roman"/>
          <w:sz w:val="24"/>
          <w:szCs w:val="24"/>
        </w:rPr>
        <w:t xml:space="preserve"> and Cape Naturaliste in southwestern Australia. As with other karst caverns in the area, </w:t>
      </w:r>
      <w:proofErr w:type="spellStart"/>
      <w:r w:rsidRPr="004169F7">
        <w:rPr>
          <w:rFonts w:ascii="Times New Roman" w:eastAsia="Times New Roman" w:hAnsi="Times New Roman" w:cs="Times New Roman"/>
          <w:sz w:val="24"/>
          <w:szCs w:val="24"/>
        </w:rPr>
        <w:t>Moondyne</w:t>
      </w:r>
      <w:proofErr w:type="spellEnd"/>
      <w:r w:rsidRPr="004169F7">
        <w:rPr>
          <w:rFonts w:ascii="Times New Roman" w:eastAsia="Times New Roman" w:hAnsi="Times New Roman" w:cs="Times New Roman"/>
          <w:sz w:val="24"/>
          <w:szCs w:val="24"/>
        </w:rPr>
        <w:t xml:space="preserve"> Cave is considered to have formed </w:t>
      </w:r>
      <w:proofErr w:type="spellStart"/>
      <w:r w:rsidRPr="004169F7">
        <w:rPr>
          <w:rFonts w:ascii="Times New Roman" w:eastAsia="Times New Roman" w:hAnsi="Times New Roman" w:cs="Times New Roman"/>
          <w:sz w:val="24"/>
          <w:szCs w:val="24"/>
        </w:rPr>
        <w:t>syngenetically</w:t>
      </w:r>
      <w:proofErr w:type="spellEnd"/>
      <w:r w:rsidRPr="004169F7">
        <w:rPr>
          <w:rFonts w:ascii="Times New Roman" w:eastAsia="Times New Roman" w:hAnsi="Times New Roman" w:cs="Times New Roman"/>
          <w:sz w:val="24"/>
          <w:szCs w:val="24"/>
        </w:rPr>
        <w:t xml:space="preserve">; i.e. cavern development commenced when the host calcarenite was becoming cemented (Jennings, 1968). The porous calcarenite is overlain by humus-rich sandy soil and dense </w:t>
      </w:r>
      <w:r w:rsidRPr="004169F7">
        <w:rPr>
          <w:rFonts w:ascii="Times New Roman" w:eastAsia="Times New Roman" w:hAnsi="Times New Roman" w:cs="Times New Roman"/>
          <w:i/>
          <w:iCs/>
          <w:sz w:val="24"/>
          <w:szCs w:val="24"/>
        </w:rPr>
        <w:t>Eucalyptus</w:t>
      </w:r>
      <w:r w:rsidRPr="004169F7">
        <w:rPr>
          <w:rFonts w:ascii="Times New Roman" w:eastAsia="Times New Roman" w:hAnsi="Times New Roman" w:cs="Times New Roman"/>
          <w:sz w:val="24"/>
          <w:szCs w:val="24"/>
        </w:rPr>
        <w:t xml:space="preserve"> forest. MND-S1 is 33 mm tall, 59 mm wide and grew draped over the corner of a wooden boardwalk, 60 m from the cave entrance. The morphology of MND-S1 is less regular than common ‘candle-shaped’ stalagmites owing to its draped growth form (Fig. 2). In cross-section, visible white layers alternate with clear layers, but there are too few visible bands to be annual. A 5 mm wide section for trace element analyses was cut along the axis of maximum growth, which comprises the most regular and thickest layering (Fig. 2). This was the same section examined in Treble et al 2003, Treble et al 2005). The location of the mapped section relative to the eleven transects used to construct the 1911–1992 record is shown in Figure 3. The upper 5–6 mm of MND-S1 corresponding to the early 1970s to 1992, is translucent and contains no </w:t>
      </w:r>
      <w:proofErr w:type="spellStart"/>
      <w:r w:rsidRPr="004169F7">
        <w:rPr>
          <w:rFonts w:ascii="Times New Roman" w:eastAsia="Times New Roman" w:hAnsi="Times New Roman" w:cs="Times New Roman"/>
          <w:sz w:val="24"/>
          <w:szCs w:val="24"/>
        </w:rPr>
        <w:t>colour</w:t>
      </w:r>
      <w:proofErr w:type="spellEnd"/>
      <w:r w:rsidRPr="004169F7">
        <w:rPr>
          <w:rFonts w:ascii="Times New Roman" w:eastAsia="Times New Roman" w:hAnsi="Times New Roman" w:cs="Times New Roman"/>
          <w:sz w:val="24"/>
          <w:szCs w:val="24"/>
        </w:rPr>
        <w:t xml:space="preserve"> banding, but wavy annual layers were detected from crystallite patterns, described below.</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 xml:space="preserve">Examination of a thin section under crossed-polarized light shows that stalagmite MND-S1 consists of several large crystals with columnar palisade fabric, formed from the growth and coalescence of numerous smaller crystallites that make-up the columnar crystals, as described by Kendall and Broughton (1978) and </w:t>
      </w:r>
      <w:proofErr w:type="spellStart"/>
      <w:r w:rsidRPr="004169F7">
        <w:rPr>
          <w:rFonts w:ascii="Times New Roman" w:eastAsia="Times New Roman" w:hAnsi="Times New Roman" w:cs="Times New Roman"/>
          <w:sz w:val="24"/>
          <w:szCs w:val="24"/>
        </w:rPr>
        <w:t>Frisia</w:t>
      </w:r>
      <w:proofErr w:type="spellEnd"/>
      <w:r w:rsidRPr="004169F7">
        <w:rPr>
          <w:rFonts w:ascii="Times New Roman" w:eastAsia="Times New Roman" w:hAnsi="Times New Roman" w:cs="Times New Roman"/>
          <w:sz w:val="24"/>
          <w:szCs w:val="24"/>
        </w:rPr>
        <w:t xml:space="preserve"> et al. (2000). Crystallites are defined as the smallest building blocks of the crystal structure and may be as small as a unit cell. When the orientations of closely-stacked crystallites are aligned, these crystallites essentially behave as and determine the properties of a single large composite crystal (Kendall and Broughton, 1978). The columnar palisade fabric of MND-S1 is ‘closed’ between growth-years 1911 to </w:t>
      </w:r>
      <w:r w:rsidRPr="004169F7">
        <w:rPr>
          <w:rFonts w:ascii="Cambria Math" w:eastAsia="Times New Roman" w:hAnsi="Cambria Math" w:cs="Cambria Math"/>
          <w:sz w:val="24"/>
          <w:szCs w:val="24"/>
        </w:rPr>
        <w:t>∼</w:t>
      </w:r>
      <w:r w:rsidRPr="004169F7">
        <w:rPr>
          <w:rFonts w:ascii="Times New Roman" w:eastAsia="Times New Roman" w:hAnsi="Times New Roman" w:cs="Times New Roman"/>
          <w:sz w:val="24"/>
          <w:szCs w:val="24"/>
        </w:rPr>
        <w:t xml:space="preserve">1930, ‘open’ between </w:t>
      </w:r>
      <w:r w:rsidRPr="004169F7">
        <w:rPr>
          <w:rFonts w:ascii="Cambria Math" w:eastAsia="Times New Roman" w:hAnsi="Cambria Math" w:cs="Cambria Math"/>
          <w:sz w:val="24"/>
          <w:szCs w:val="24"/>
        </w:rPr>
        <w:t>∼</w:t>
      </w:r>
      <w:r w:rsidRPr="004169F7">
        <w:rPr>
          <w:rFonts w:ascii="Times New Roman" w:eastAsia="Times New Roman" w:hAnsi="Times New Roman" w:cs="Times New Roman"/>
          <w:sz w:val="24"/>
          <w:szCs w:val="24"/>
        </w:rPr>
        <w:t xml:space="preserve">1930 to </w:t>
      </w:r>
      <w:r w:rsidRPr="004169F7">
        <w:rPr>
          <w:rFonts w:ascii="Cambria Math" w:eastAsia="Times New Roman" w:hAnsi="Cambria Math" w:cs="Cambria Math"/>
          <w:sz w:val="24"/>
          <w:szCs w:val="24"/>
        </w:rPr>
        <w:t>∼</w:t>
      </w:r>
      <w:r w:rsidRPr="004169F7">
        <w:rPr>
          <w:rFonts w:ascii="Times New Roman" w:eastAsia="Times New Roman" w:hAnsi="Times New Roman" w:cs="Times New Roman"/>
          <w:sz w:val="24"/>
          <w:szCs w:val="24"/>
        </w:rPr>
        <w:t xml:space="preserve">1970 and ‘closed’ between </w:t>
      </w:r>
      <w:r w:rsidRPr="004169F7">
        <w:rPr>
          <w:rFonts w:ascii="Cambria Math" w:eastAsia="Times New Roman" w:hAnsi="Cambria Math" w:cs="Cambria Math"/>
          <w:sz w:val="24"/>
          <w:szCs w:val="24"/>
        </w:rPr>
        <w:t>∼</w:t>
      </w:r>
      <w:r w:rsidRPr="004169F7">
        <w:rPr>
          <w:rFonts w:ascii="Times New Roman" w:eastAsia="Times New Roman" w:hAnsi="Times New Roman" w:cs="Times New Roman"/>
          <w:sz w:val="24"/>
          <w:szCs w:val="24"/>
        </w:rPr>
        <w:t>1970 and 1992, where ‘open’ and ‘closed’ fabric refers to the lateral coalescence between columnar crystals: closed fabric consists of columnar crystals that are laterally fused, providing a smooth almost featureless surface, whilst the spaces between columnar crystals in open fabric are preserved and often fluid-filled (Kendall and Broughton, 1978). Figure 4 shows closed columnar fabric in the youngest portion of MND-S1. The transition between open and closed fabric is shown in Treble et al. (2005; their Fig. 2).</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 xml:space="preserve">The calcite formed from </w:t>
      </w:r>
      <w:r w:rsidRPr="004169F7">
        <w:rPr>
          <w:rFonts w:ascii="Cambria Math" w:eastAsia="Times New Roman" w:hAnsi="Cambria Math" w:cs="Cambria Math"/>
          <w:sz w:val="24"/>
          <w:szCs w:val="24"/>
        </w:rPr>
        <w:t>∼</w:t>
      </w:r>
      <w:r w:rsidRPr="004169F7">
        <w:rPr>
          <w:rFonts w:ascii="Times New Roman" w:eastAsia="Times New Roman" w:hAnsi="Times New Roman" w:cs="Times New Roman"/>
          <w:sz w:val="24"/>
          <w:szCs w:val="24"/>
        </w:rPr>
        <w:t xml:space="preserve">1970 onwards is fully fused and featureless apart from cleavage planes, which are visible because of micro-tearing and plucking of the crystal surface when it was cut and polished. Along the youngest growth surface, adjacent columnar crystal terminations have coalesced into rhombohedral terminations protruding approximately 50–100 </w:t>
      </w:r>
      <w:proofErr w:type="spellStart"/>
      <w:r w:rsidRPr="004169F7">
        <w:rPr>
          <w:rFonts w:ascii="Times New Roman" w:eastAsia="Times New Roman" w:hAnsi="Times New Roman" w:cs="Times New Roman"/>
          <w:sz w:val="24"/>
          <w:szCs w:val="24"/>
        </w:rPr>
        <w:t>μm</w:t>
      </w:r>
      <w:proofErr w:type="spellEnd"/>
      <w:r w:rsidRPr="004169F7">
        <w:rPr>
          <w:rFonts w:ascii="Times New Roman" w:eastAsia="Times New Roman" w:hAnsi="Times New Roman" w:cs="Times New Roman"/>
          <w:sz w:val="24"/>
          <w:szCs w:val="24"/>
        </w:rPr>
        <w:t xml:space="preserve"> above the surface of the fused calcite crystal, visible in thin section (Fig. 4). The columnar palisade structure is almost featureless below the youngest cleavage plane (indicated by grey circles in Fig. 4) suggesting virtually complete fusion of column boundaries (Fig. 4). The edges of the thick section </w:t>
      </w:r>
      <w:proofErr w:type="spellStart"/>
      <w:r w:rsidRPr="004169F7">
        <w:rPr>
          <w:rFonts w:ascii="Times New Roman" w:eastAsia="Times New Roman" w:hAnsi="Times New Roman" w:cs="Times New Roman"/>
          <w:sz w:val="24"/>
          <w:szCs w:val="24"/>
        </w:rPr>
        <w:t>analysed</w:t>
      </w:r>
      <w:proofErr w:type="spellEnd"/>
      <w:r w:rsidRPr="004169F7">
        <w:rPr>
          <w:rFonts w:ascii="Times New Roman" w:eastAsia="Times New Roman" w:hAnsi="Times New Roman" w:cs="Times New Roman"/>
          <w:sz w:val="24"/>
          <w:szCs w:val="24"/>
        </w:rPr>
        <w:t xml:space="preserve"> for trace elements by Treble et al. (2003) and used in this study were damaged during cutting giving rise to a final surface of larger rhombohedral shapes where the crystal tips were broken at cleavage planes. The youngest cycle was lost in three transects measured by Treble et al. (2003) owing to cutting damage, but this did not compromise the comparison with the instrumental climate record because eleven transects were measured overall.</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lastRenderedPageBreak/>
        <w:t>The calcite formed after the rainfall decrease in the late 1960s contains regular wavy lines of small holes, described by Treble et al. (2003), which coincide with troughs in Ba, Sr and U and peaks in Mg annual cycles. The prominence of these wavy lines after the rainfall decrease suggests that they reflect reduced water availability. Drip water flux at the site is observed to be lowest from late summer through autumn (February–May) when effective precipitation is very low, and summer drip water activity has probably become lower since about 1970, owing to the reduction in rainfall. Hence, it seems highly likely that these wavy lines are depositional hiatuses resulting from lower summer drip water. Regardless of their precise nature or exact timing, the hiatuses provide a fortuitous visual template of the annual growth layers across the calcite surface. We present findings concerning the structure of these layers, and further investigate their relationship with trace element concentrations.</w:t>
      </w:r>
    </w:p>
    <w:p w:rsidR="004169F7" w:rsidRPr="004169F7" w:rsidRDefault="004169F7" w:rsidP="004169F7">
      <w:pPr>
        <w:spacing w:before="100" w:beforeAutospacing="1" w:after="100" w:afterAutospacing="1" w:line="240" w:lineRule="auto"/>
        <w:outlineLvl w:val="1"/>
        <w:rPr>
          <w:rFonts w:ascii="Times New Roman" w:eastAsia="Times New Roman" w:hAnsi="Times New Roman" w:cs="Times New Roman"/>
          <w:b/>
          <w:bCs/>
          <w:sz w:val="36"/>
          <w:szCs w:val="36"/>
        </w:rPr>
      </w:pPr>
      <w:r w:rsidRPr="004169F7">
        <w:rPr>
          <w:rFonts w:ascii="Times New Roman" w:eastAsia="Times New Roman" w:hAnsi="Times New Roman" w:cs="Times New Roman"/>
          <w:b/>
          <w:bCs/>
          <w:sz w:val="36"/>
          <w:szCs w:val="36"/>
        </w:rPr>
        <w:t>Section snippets</w:t>
      </w:r>
    </w:p>
    <w:p w:rsidR="004169F7" w:rsidRPr="004169F7" w:rsidRDefault="004169F7" w:rsidP="004169F7">
      <w:pPr>
        <w:spacing w:before="100" w:beforeAutospacing="1" w:after="100" w:afterAutospacing="1" w:line="240" w:lineRule="auto"/>
        <w:outlineLvl w:val="1"/>
        <w:rPr>
          <w:rFonts w:ascii="Times New Roman" w:eastAsia="Times New Roman" w:hAnsi="Times New Roman" w:cs="Times New Roman"/>
          <w:b/>
          <w:bCs/>
          <w:sz w:val="36"/>
          <w:szCs w:val="36"/>
        </w:rPr>
      </w:pPr>
      <w:r w:rsidRPr="004169F7">
        <w:rPr>
          <w:rFonts w:ascii="Times New Roman" w:eastAsia="Times New Roman" w:hAnsi="Times New Roman" w:cs="Times New Roman"/>
          <w:b/>
          <w:bCs/>
          <w:sz w:val="36"/>
          <w:szCs w:val="36"/>
        </w:rPr>
        <w:t>Methods</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The polished surface of MND-S1 was photographed under reflected light before laser ablation and a template was made of the wavy annual layers. SEM images were created after ELA-ICPMS analysis of the mapped area. SEM imaging of the uncoated specimen was conducted in backscatter mode with the sample chamber at variable air pressures between 10–20 Pa. Prior to SEM imaging, the section was washed in a solution of 0.4 M KI and 3mM I</w:t>
      </w:r>
      <w:r w:rsidRPr="004169F7">
        <w:rPr>
          <w:rFonts w:ascii="Times New Roman" w:eastAsia="Times New Roman" w:hAnsi="Times New Roman" w:cs="Times New Roman"/>
          <w:sz w:val="24"/>
          <w:szCs w:val="24"/>
          <w:vertAlign w:val="subscript"/>
        </w:rPr>
        <w:t>2</w:t>
      </w:r>
      <w:r w:rsidRPr="004169F7">
        <w:rPr>
          <w:rFonts w:ascii="Times New Roman" w:eastAsia="Times New Roman" w:hAnsi="Times New Roman" w:cs="Times New Roman"/>
          <w:sz w:val="24"/>
          <w:szCs w:val="24"/>
        </w:rPr>
        <w:t xml:space="preserve"> in an ultrasonicated bath, to remove a gold coating used in </w:t>
      </w:r>
      <w:r w:rsidRPr="004169F7">
        <w:rPr>
          <w:rFonts w:ascii="Times New Roman" w:eastAsia="Times New Roman" w:hAnsi="Times New Roman" w:cs="Times New Roman"/>
          <w:sz w:val="24"/>
          <w:szCs w:val="24"/>
          <w:vertAlign w:val="superscript"/>
        </w:rPr>
        <w:t>18</w:t>
      </w:r>
      <w:r w:rsidRPr="004169F7">
        <w:rPr>
          <w:rFonts w:ascii="Times New Roman" w:eastAsia="Times New Roman" w:hAnsi="Times New Roman" w:cs="Times New Roman"/>
          <w:sz w:val="24"/>
          <w:szCs w:val="24"/>
        </w:rPr>
        <w:t>O/</w:t>
      </w:r>
      <w:r w:rsidRPr="004169F7">
        <w:rPr>
          <w:rFonts w:ascii="Times New Roman" w:eastAsia="Times New Roman" w:hAnsi="Times New Roman" w:cs="Times New Roman"/>
          <w:sz w:val="24"/>
          <w:szCs w:val="24"/>
          <w:vertAlign w:val="superscript"/>
        </w:rPr>
        <w:t>16</w:t>
      </w:r>
    </w:p>
    <w:p w:rsidR="004169F7" w:rsidRPr="004169F7" w:rsidRDefault="004169F7" w:rsidP="004169F7">
      <w:pPr>
        <w:spacing w:before="100" w:beforeAutospacing="1" w:after="100" w:afterAutospacing="1" w:line="240" w:lineRule="auto"/>
        <w:outlineLvl w:val="1"/>
        <w:rPr>
          <w:rFonts w:ascii="Times New Roman" w:eastAsia="Times New Roman" w:hAnsi="Times New Roman" w:cs="Times New Roman"/>
          <w:b/>
          <w:bCs/>
          <w:sz w:val="36"/>
          <w:szCs w:val="36"/>
        </w:rPr>
      </w:pPr>
      <w:r w:rsidRPr="004169F7">
        <w:rPr>
          <w:rFonts w:ascii="Times New Roman" w:eastAsia="Times New Roman" w:hAnsi="Times New Roman" w:cs="Times New Roman"/>
          <w:b/>
          <w:bCs/>
          <w:sz w:val="36"/>
          <w:szCs w:val="36"/>
        </w:rPr>
        <w:t>SEM Images of Annual Growth Layers</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Annual growth layers, separated by dark wavy stripes, are clearly evident in SEM images of the etched surface (Figs. 5a, b). When polished, the dark stripes appear as lines of small holes (Fig. 5c) and indicate that growth interruption became an annual feature in calcite formed after rainfall decreased in the late 1960s. The growth layers are uneven and semi-continuous (Fig. 5a), and some layers pinch out altogether (e.g. above and to the lower right of the white box in Fig. 5a). Growth layers</w:t>
      </w:r>
    </w:p>
    <w:p w:rsidR="004169F7" w:rsidRPr="004169F7" w:rsidRDefault="004169F7" w:rsidP="004169F7">
      <w:pPr>
        <w:spacing w:before="100" w:beforeAutospacing="1" w:after="100" w:afterAutospacing="1" w:line="240" w:lineRule="auto"/>
        <w:outlineLvl w:val="1"/>
        <w:rPr>
          <w:rFonts w:ascii="Times New Roman" w:eastAsia="Times New Roman" w:hAnsi="Times New Roman" w:cs="Times New Roman"/>
          <w:b/>
          <w:bCs/>
          <w:sz w:val="36"/>
          <w:szCs w:val="36"/>
        </w:rPr>
      </w:pPr>
      <w:r w:rsidRPr="004169F7">
        <w:rPr>
          <w:rFonts w:ascii="Times New Roman" w:eastAsia="Times New Roman" w:hAnsi="Times New Roman" w:cs="Times New Roman"/>
          <w:b/>
          <w:bCs/>
          <w:sz w:val="36"/>
          <w:szCs w:val="36"/>
        </w:rPr>
        <w:t>Complex Growth Processes: Implications for Micro-Analyses</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Seasonal variation in trace element concentration coincides with physical annual growth layers in MND-S1 but point to point variations of crystal growth or possibly crystal erosion have affected the layering stratigraphy and the preservation of annual trace element cycles. These processes, as well as lateral variation in trace element concentrations along each layer, are responsible for the trace element variability between closely spaced transects observed in Figure 1. Complex growth impacts</w:t>
      </w:r>
    </w:p>
    <w:p w:rsidR="004169F7" w:rsidRPr="004169F7" w:rsidRDefault="004169F7" w:rsidP="004169F7">
      <w:pPr>
        <w:spacing w:before="100" w:beforeAutospacing="1" w:after="100" w:afterAutospacing="1" w:line="240" w:lineRule="auto"/>
        <w:outlineLvl w:val="1"/>
        <w:rPr>
          <w:rFonts w:ascii="Times New Roman" w:eastAsia="Times New Roman" w:hAnsi="Times New Roman" w:cs="Times New Roman"/>
          <w:b/>
          <w:bCs/>
          <w:sz w:val="36"/>
          <w:szCs w:val="36"/>
        </w:rPr>
      </w:pPr>
      <w:r w:rsidRPr="004169F7">
        <w:rPr>
          <w:rFonts w:ascii="Times New Roman" w:eastAsia="Times New Roman" w:hAnsi="Times New Roman" w:cs="Times New Roman"/>
          <w:b/>
          <w:bCs/>
          <w:sz w:val="36"/>
          <w:szCs w:val="36"/>
        </w:rPr>
        <w:t>Conclusions</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 xml:space="preserve">Trace element mapping of a stalagmite from southwest Australia, MND-S1, by ELA-ICPMS revealed patterns of Ba, Sr, U, Mg and Na concentrations corresponding to the annual growth layering visible across the stalagmite surface. Trace elements whose uptake is dependent on growth rate produce the clearest coherent seasonal variation within each layer. Uneven and pinched annual </w:t>
      </w:r>
      <w:r w:rsidRPr="004169F7">
        <w:rPr>
          <w:rFonts w:ascii="Times New Roman" w:eastAsia="Times New Roman" w:hAnsi="Times New Roman" w:cs="Times New Roman"/>
          <w:sz w:val="24"/>
          <w:szCs w:val="24"/>
        </w:rPr>
        <w:lastRenderedPageBreak/>
        <w:t>layers reveal that calcite crystal growth in MND-S1 is complex and that this significantly impacts on the preservation of</w:t>
      </w:r>
    </w:p>
    <w:p w:rsidR="004169F7" w:rsidRPr="004169F7" w:rsidRDefault="004169F7" w:rsidP="004169F7">
      <w:pPr>
        <w:spacing w:before="100" w:beforeAutospacing="1" w:after="100" w:afterAutospacing="1" w:line="240" w:lineRule="auto"/>
        <w:outlineLvl w:val="1"/>
        <w:rPr>
          <w:rFonts w:ascii="Times New Roman" w:eastAsia="Times New Roman" w:hAnsi="Times New Roman" w:cs="Times New Roman"/>
          <w:b/>
          <w:bCs/>
          <w:sz w:val="36"/>
          <w:szCs w:val="36"/>
        </w:rPr>
      </w:pPr>
      <w:r w:rsidRPr="004169F7">
        <w:rPr>
          <w:rFonts w:ascii="Times New Roman" w:eastAsia="Times New Roman" w:hAnsi="Times New Roman" w:cs="Times New Roman"/>
          <w:b/>
          <w:bCs/>
          <w:sz w:val="36"/>
          <w:szCs w:val="36"/>
        </w:rPr>
        <w:t>Acknowledgments</w:t>
      </w:r>
    </w:p>
    <w:p w:rsidR="004169F7" w:rsidRPr="004169F7" w:rsidRDefault="004169F7" w:rsidP="004169F7">
      <w:pPr>
        <w:spacing w:before="100" w:beforeAutospacing="1" w:after="100" w:afterAutospacing="1" w:line="240" w:lineRule="auto"/>
        <w:rPr>
          <w:rFonts w:ascii="Times New Roman" w:eastAsia="Times New Roman" w:hAnsi="Times New Roman" w:cs="Times New Roman"/>
          <w:sz w:val="24"/>
          <w:szCs w:val="24"/>
        </w:rPr>
      </w:pPr>
      <w:r w:rsidRPr="004169F7">
        <w:rPr>
          <w:rFonts w:ascii="Times New Roman" w:eastAsia="Times New Roman" w:hAnsi="Times New Roman" w:cs="Times New Roman"/>
          <w:sz w:val="24"/>
          <w:szCs w:val="24"/>
        </w:rPr>
        <w:t xml:space="preserve">We thank Silvia </w:t>
      </w:r>
      <w:proofErr w:type="spellStart"/>
      <w:r w:rsidRPr="004169F7">
        <w:rPr>
          <w:rFonts w:ascii="Times New Roman" w:eastAsia="Times New Roman" w:hAnsi="Times New Roman" w:cs="Times New Roman"/>
          <w:sz w:val="24"/>
          <w:szCs w:val="24"/>
        </w:rPr>
        <w:t>Frisia</w:t>
      </w:r>
      <w:proofErr w:type="spellEnd"/>
      <w:r w:rsidRPr="004169F7">
        <w:rPr>
          <w:rFonts w:ascii="Times New Roman" w:eastAsia="Times New Roman" w:hAnsi="Times New Roman" w:cs="Times New Roman"/>
          <w:sz w:val="24"/>
          <w:szCs w:val="24"/>
        </w:rPr>
        <w:t xml:space="preserve">, Ian Fairchild, Andy Christy, Henry </w:t>
      </w:r>
      <w:proofErr w:type="spellStart"/>
      <w:r w:rsidRPr="004169F7">
        <w:rPr>
          <w:rFonts w:ascii="Times New Roman" w:eastAsia="Times New Roman" w:hAnsi="Times New Roman" w:cs="Times New Roman"/>
          <w:sz w:val="24"/>
          <w:szCs w:val="24"/>
        </w:rPr>
        <w:t>Schwarcz</w:t>
      </w:r>
      <w:proofErr w:type="spellEnd"/>
      <w:r w:rsidRPr="004169F7">
        <w:rPr>
          <w:rFonts w:ascii="Times New Roman" w:eastAsia="Times New Roman" w:hAnsi="Times New Roman" w:cs="Times New Roman"/>
          <w:sz w:val="24"/>
          <w:szCs w:val="24"/>
        </w:rPr>
        <w:t xml:space="preserve"> and Associate Editor </w:t>
      </w:r>
      <w:proofErr w:type="spellStart"/>
      <w:r w:rsidRPr="004169F7">
        <w:rPr>
          <w:rFonts w:ascii="Times New Roman" w:eastAsia="Times New Roman" w:hAnsi="Times New Roman" w:cs="Times New Roman"/>
          <w:sz w:val="24"/>
          <w:szCs w:val="24"/>
        </w:rPr>
        <w:t>Miryam</w:t>
      </w:r>
      <w:proofErr w:type="spellEnd"/>
      <w:r w:rsidRPr="004169F7">
        <w:rPr>
          <w:rFonts w:ascii="Times New Roman" w:eastAsia="Times New Roman" w:hAnsi="Times New Roman" w:cs="Times New Roman"/>
          <w:sz w:val="24"/>
          <w:szCs w:val="24"/>
        </w:rPr>
        <w:t xml:space="preserve"> Bar-Matthews for discussion and comments on the physical and trace element banding; Juan Pablo Bernal for the KI etching process; and Bruce Railsback for pointing to </w:t>
      </w:r>
      <w:proofErr w:type="spellStart"/>
      <w:r w:rsidRPr="004169F7">
        <w:rPr>
          <w:rFonts w:ascii="Times New Roman" w:eastAsia="Times New Roman" w:hAnsi="Times New Roman" w:cs="Times New Roman"/>
          <w:sz w:val="24"/>
          <w:szCs w:val="24"/>
        </w:rPr>
        <w:t>Mucci</w:t>
      </w:r>
      <w:proofErr w:type="spellEnd"/>
      <w:r w:rsidRPr="004169F7">
        <w:rPr>
          <w:rFonts w:ascii="Times New Roman" w:eastAsia="Times New Roman" w:hAnsi="Times New Roman" w:cs="Times New Roman"/>
          <w:sz w:val="24"/>
          <w:szCs w:val="24"/>
        </w:rPr>
        <w:t xml:space="preserve"> and Morse’s 1983 study. P.T. acknowledges the financial support from an Australian Postgraduate Award and RSES, ANU during analyses and from UCLA during the preparation of this manuscript.</w:t>
      </w:r>
    </w:p>
    <w:p w:rsidR="00A51561" w:rsidRDefault="00A51561"/>
    <w:sectPr w:rsidR="00A51561">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69F7"/>
    <w:rsid w:val="004169F7"/>
    <w:rsid w:val="00A515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AB6F22"/>
  <w15:chartTrackingRefBased/>
  <w15:docId w15:val="{CCFBEC7B-72AC-4056-91DC-9CA8711CA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6456511">
      <w:bodyDiv w:val="1"/>
      <w:marLeft w:val="0"/>
      <w:marRight w:val="0"/>
      <w:marTop w:val="0"/>
      <w:marBottom w:val="0"/>
      <w:divBdr>
        <w:top w:val="none" w:sz="0" w:space="0" w:color="auto"/>
        <w:left w:val="none" w:sz="0" w:space="0" w:color="auto"/>
        <w:bottom w:val="none" w:sz="0" w:space="0" w:color="auto"/>
        <w:right w:val="none" w:sz="0" w:space="0" w:color="auto"/>
      </w:divBdr>
      <w:divsChild>
        <w:div w:id="1707025005">
          <w:marLeft w:val="0"/>
          <w:marRight w:val="0"/>
          <w:marTop w:val="0"/>
          <w:marBottom w:val="0"/>
          <w:divBdr>
            <w:top w:val="none" w:sz="0" w:space="0" w:color="auto"/>
            <w:left w:val="none" w:sz="0" w:space="0" w:color="auto"/>
            <w:bottom w:val="none" w:sz="0" w:space="0" w:color="auto"/>
            <w:right w:val="none" w:sz="0" w:space="0" w:color="auto"/>
          </w:divBdr>
          <w:divsChild>
            <w:div w:id="1354528475">
              <w:marLeft w:val="0"/>
              <w:marRight w:val="0"/>
              <w:marTop w:val="0"/>
              <w:marBottom w:val="0"/>
              <w:divBdr>
                <w:top w:val="none" w:sz="0" w:space="0" w:color="auto"/>
                <w:left w:val="none" w:sz="0" w:space="0" w:color="auto"/>
                <w:bottom w:val="none" w:sz="0" w:space="0" w:color="auto"/>
                <w:right w:val="none" w:sz="0" w:space="0" w:color="auto"/>
              </w:divBdr>
              <w:divsChild>
                <w:div w:id="1850212534">
                  <w:marLeft w:val="0"/>
                  <w:marRight w:val="0"/>
                  <w:marTop w:val="0"/>
                  <w:marBottom w:val="0"/>
                  <w:divBdr>
                    <w:top w:val="none" w:sz="0" w:space="0" w:color="auto"/>
                    <w:left w:val="none" w:sz="0" w:space="0" w:color="auto"/>
                    <w:bottom w:val="none" w:sz="0" w:space="0" w:color="auto"/>
                    <w:right w:val="none" w:sz="0" w:space="0" w:color="auto"/>
                  </w:divBdr>
                  <w:divsChild>
                    <w:div w:id="793863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75497">
          <w:marLeft w:val="0"/>
          <w:marRight w:val="0"/>
          <w:marTop w:val="0"/>
          <w:marBottom w:val="0"/>
          <w:divBdr>
            <w:top w:val="none" w:sz="0" w:space="0" w:color="auto"/>
            <w:left w:val="none" w:sz="0" w:space="0" w:color="auto"/>
            <w:bottom w:val="none" w:sz="0" w:space="0" w:color="auto"/>
            <w:right w:val="none" w:sz="0" w:space="0" w:color="auto"/>
          </w:divBdr>
          <w:divsChild>
            <w:div w:id="1389919938">
              <w:marLeft w:val="0"/>
              <w:marRight w:val="0"/>
              <w:marTop w:val="0"/>
              <w:marBottom w:val="0"/>
              <w:divBdr>
                <w:top w:val="none" w:sz="0" w:space="0" w:color="auto"/>
                <w:left w:val="none" w:sz="0" w:space="0" w:color="auto"/>
                <w:bottom w:val="none" w:sz="0" w:space="0" w:color="auto"/>
                <w:right w:val="none" w:sz="0" w:space="0" w:color="auto"/>
              </w:divBdr>
              <w:divsChild>
                <w:div w:id="989867200">
                  <w:marLeft w:val="0"/>
                  <w:marRight w:val="0"/>
                  <w:marTop w:val="0"/>
                  <w:marBottom w:val="0"/>
                  <w:divBdr>
                    <w:top w:val="none" w:sz="0" w:space="0" w:color="auto"/>
                    <w:left w:val="none" w:sz="0" w:space="0" w:color="auto"/>
                    <w:bottom w:val="none" w:sz="0" w:space="0" w:color="auto"/>
                    <w:right w:val="none" w:sz="0" w:space="0" w:color="auto"/>
                  </w:divBdr>
                  <w:divsChild>
                    <w:div w:id="946347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4759">
          <w:marLeft w:val="0"/>
          <w:marRight w:val="0"/>
          <w:marTop w:val="0"/>
          <w:marBottom w:val="0"/>
          <w:divBdr>
            <w:top w:val="none" w:sz="0" w:space="0" w:color="auto"/>
            <w:left w:val="none" w:sz="0" w:space="0" w:color="auto"/>
            <w:bottom w:val="none" w:sz="0" w:space="0" w:color="auto"/>
            <w:right w:val="none" w:sz="0" w:space="0" w:color="auto"/>
          </w:divBdr>
          <w:divsChild>
            <w:div w:id="1864440840">
              <w:marLeft w:val="0"/>
              <w:marRight w:val="0"/>
              <w:marTop w:val="0"/>
              <w:marBottom w:val="0"/>
              <w:divBdr>
                <w:top w:val="none" w:sz="0" w:space="0" w:color="auto"/>
                <w:left w:val="none" w:sz="0" w:space="0" w:color="auto"/>
                <w:bottom w:val="none" w:sz="0" w:space="0" w:color="auto"/>
                <w:right w:val="none" w:sz="0" w:space="0" w:color="auto"/>
              </w:divBdr>
            </w:div>
          </w:divsChild>
        </w:div>
        <w:div w:id="855921603">
          <w:marLeft w:val="0"/>
          <w:marRight w:val="0"/>
          <w:marTop w:val="0"/>
          <w:marBottom w:val="0"/>
          <w:divBdr>
            <w:top w:val="none" w:sz="0" w:space="0" w:color="auto"/>
            <w:left w:val="none" w:sz="0" w:space="0" w:color="auto"/>
            <w:bottom w:val="none" w:sz="0" w:space="0" w:color="auto"/>
            <w:right w:val="none" w:sz="0" w:space="0" w:color="auto"/>
          </w:divBdr>
          <w:divsChild>
            <w:div w:id="1102920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seasonality"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disequilibriu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science/article/abs/pii/S0016703705004850?via%3Dihub" TargetMode="External"/><Relationship Id="rId5" Type="http://schemas.openxmlformats.org/officeDocument/2006/relationships/hyperlink" Target="https://www.sciencedirect.com/topics/earth-and-planetary-sciences/stalagmite" TargetMode="External"/><Relationship Id="rId10" Type="http://schemas.openxmlformats.org/officeDocument/2006/relationships/theme" Target="theme/theme1.xml"/><Relationship Id="rId4" Type="http://schemas.openxmlformats.org/officeDocument/2006/relationships/hyperlink" Target="https://doi.org/10.1016/j.gca.2005.06.008"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2380</Words>
  <Characters>13567</Characters>
  <Application>Microsoft Office Word</Application>
  <DocSecurity>0</DocSecurity>
  <Lines>113</Lines>
  <Paragraphs>31</Paragraphs>
  <ScaleCrop>false</ScaleCrop>
  <Company/>
  <LinksUpToDate>false</LinksUpToDate>
  <CharactersWithSpaces>15916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2023-11-11T08:05:00Z</dcterms:created>
  <dcterms:modified xsi:type="dcterms:W3CDTF">2023-11-11T08:05:00Z</dcterms:modified>
</cp:coreProperties>
</file>