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520D9" w:rsidRPr="005520D9" w:rsidRDefault="005520D9" w:rsidP="005520D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520D9">
        <w:rPr>
          <w:rFonts w:ascii="Times New Roman" w:eastAsia="Times New Roman" w:hAnsi="Times New Roman" w:cs="Times New Roman"/>
          <w:b/>
          <w:bCs/>
          <w:kern w:val="36"/>
          <w:sz w:val="48"/>
          <w:szCs w:val="48"/>
        </w:rPr>
        <w:t xml:space="preserve">Carbonaceous xenoliths in the </w:t>
      </w:r>
      <w:proofErr w:type="spellStart"/>
      <w:r w:rsidRPr="005520D9">
        <w:rPr>
          <w:rFonts w:ascii="Times New Roman" w:eastAsia="Times New Roman" w:hAnsi="Times New Roman" w:cs="Times New Roman"/>
          <w:b/>
          <w:bCs/>
          <w:kern w:val="36"/>
          <w:sz w:val="48"/>
          <w:szCs w:val="48"/>
        </w:rPr>
        <w:t>Krymka</w:t>
      </w:r>
      <w:proofErr w:type="spellEnd"/>
      <w:r w:rsidRPr="005520D9">
        <w:rPr>
          <w:rFonts w:ascii="Times New Roman" w:eastAsia="Times New Roman" w:hAnsi="Times New Roman" w:cs="Times New Roman"/>
          <w:b/>
          <w:bCs/>
          <w:kern w:val="36"/>
          <w:sz w:val="48"/>
          <w:szCs w:val="48"/>
        </w:rPr>
        <w:t xml:space="preserve"> LL3.1 chondrite: Mysteries and established facts</w:t>
      </w:r>
    </w:p>
    <w:p w:rsidR="005520D9" w:rsidRPr="005520D9" w:rsidRDefault="005520D9" w:rsidP="005520D9">
      <w:pPr>
        <w:spacing w:after="0"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Author links open overlay panel</w:t>
      </w:r>
    </w:p>
    <w:p w:rsidR="005520D9" w:rsidRPr="005520D9" w:rsidRDefault="005520D9" w:rsidP="005520D9">
      <w:pPr>
        <w:spacing w:after="0"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 , , , , </w:t>
      </w:r>
    </w:p>
    <w:p w:rsidR="005520D9" w:rsidRPr="005520D9" w:rsidRDefault="005520D9" w:rsidP="005520D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520D9">
          <w:rPr>
            <w:rFonts w:ascii="Times New Roman" w:eastAsia="Times New Roman" w:hAnsi="Times New Roman" w:cs="Times New Roman"/>
            <w:color w:val="0000FF"/>
            <w:sz w:val="24"/>
            <w:szCs w:val="24"/>
            <w:u w:val="single"/>
          </w:rPr>
          <w:t>https://doi.org/10.1016/j.gca.2004.10.027</w:t>
        </w:r>
      </w:hyperlink>
      <w:bookmarkStart w:id="0" w:name="_GoBack"/>
      <w:bookmarkEnd w:id="0"/>
      <w:r w:rsidRPr="005520D9">
        <w:rPr>
          <w:rFonts w:ascii="Times New Roman" w:eastAsia="Times New Roman" w:hAnsi="Times New Roman" w:cs="Times New Roman"/>
          <w:sz w:val="24"/>
          <w:szCs w:val="24"/>
        </w:rPr>
        <w:t xml:space="preserve"> </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Abstract</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The results of a detailed study on mineralogy, chemistry, and the carbon and oxygen isotopes of two exotic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carbonaceous </w:t>
      </w:r>
      <w:hyperlink r:id="rId5" w:tooltip="Learn more about xenoliths from ScienceDirect's AI-generated Topic Pages" w:history="1">
        <w:r w:rsidRPr="005520D9">
          <w:rPr>
            <w:rFonts w:ascii="Times New Roman" w:eastAsia="Times New Roman" w:hAnsi="Times New Roman" w:cs="Times New Roman"/>
            <w:color w:val="0000FF"/>
            <w:sz w:val="24"/>
            <w:szCs w:val="24"/>
            <w:u w:val="single"/>
          </w:rPr>
          <w:t>xenoliths</w:t>
        </w:r>
      </w:hyperlink>
      <w:r w:rsidRPr="005520D9">
        <w:rPr>
          <w:rFonts w:ascii="Times New Roman" w:eastAsia="Times New Roman" w:hAnsi="Times New Roman" w:cs="Times New Roman"/>
          <w:sz w:val="24"/>
          <w:szCs w:val="24"/>
        </w:rPr>
        <w:t xml:space="preserve"> are presented in this article. The investigated xenoliths are metamorphosed and shocked and have the following characteristics, which distinguish them from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host: 1. resemblance of their SiO</w:t>
      </w:r>
      <w:r w:rsidRPr="005520D9">
        <w:rPr>
          <w:rFonts w:ascii="Times New Roman" w:eastAsia="Times New Roman" w:hAnsi="Times New Roman" w:cs="Times New Roman"/>
          <w:sz w:val="24"/>
          <w:szCs w:val="24"/>
          <w:vertAlign w:val="subscript"/>
        </w:rPr>
        <w:t>2</w:t>
      </w:r>
      <w:r w:rsidRPr="005520D9">
        <w:rPr>
          <w:rFonts w:ascii="Times New Roman" w:eastAsia="Times New Roman" w:hAnsi="Times New Roman" w:cs="Times New Roman"/>
          <w:sz w:val="24"/>
          <w:szCs w:val="24"/>
        </w:rPr>
        <w:t xml:space="preserve">/MgO ratio to that of </w:t>
      </w:r>
      <w:hyperlink r:id="rId6" w:tooltip="Learn more about carbonaceous chondrites from ScienceDirect's AI-generated Topic Pages" w:history="1">
        <w:r w:rsidRPr="005520D9">
          <w:rPr>
            <w:rFonts w:ascii="Times New Roman" w:eastAsia="Times New Roman" w:hAnsi="Times New Roman" w:cs="Times New Roman"/>
            <w:color w:val="0000FF"/>
            <w:sz w:val="24"/>
            <w:szCs w:val="24"/>
            <w:u w:val="single"/>
          </w:rPr>
          <w:t>carbonaceous chondrites</w:t>
        </w:r>
      </w:hyperlink>
      <w:r w:rsidRPr="005520D9">
        <w:rPr>
          <w:rFonts w:ascii="Times New Roman" w:eastAsia="Times New Roman" w:hAnsi="Times New Roman" w:cs="Times New Roman"/>
          <w:sz w:val="24"/>
          <w:szCs w:val="24"/>
        </w:rPr>
        <w:t xml:space="preserve">; 2. higher Fe content and </w:t>
      </w:r>
      <w:proofErr w:type="spellStart"/>
      <w:r w:rsidRPr="005520D9">
        <w:rPr>
          <w:rFonts w:ascii="Times New Roman" w:eastAsia="Times New Roman" w:hAnsi="Times New Roman" w:cs="Times New Roman"/>
          <w:sz w:val="24"/>
          <w:szCs w:val="24"/>
        </w:rPr>
        <w:t>FeO</w:t>
      </w:r>
      <w:proofErr w:type="spellEnd"/>
      <w:r w:rsidRPr="005520D9">
        <w:rPr>
          <w:rFonts w:ascii="Times New Roman" w:eastAsia="Times New Roman" w:hAnsi="Times New Roman" w:cs="Times New Roman"/>
          <w:sz w:val="24"/>
          <w:szCs w:val="24"/>
        </w:rPr>
        <w:t>/(</w:t>
      </w:r>
      <w:proofErr w:type="spellStart"/>
      <w:r w:rsidRPr="005520D9">
        <w:rPr>
          <w:rFonts w:ascii="Times New Roman" w:eastAsia="Times New Roman" w:hAnsi="Times New Roman" w:cs="Times New Roman"/>
          <w:sz w:val="24"/>
          <w:szCs w:val="24"/>
        </w:rPr>
        <w:t>FeO</w:t>
      </w:r>
      <w:proofErr w:type="spellEnd"/>
      <w:r w:rsidRPr="005520D9">
        <w:rPr>
          <w:rFonts w:ascii="Times New Roman" w:eastAsia="Times New Roman" w:hAnsi="Times New Roman" w:cs="Times New Roman"/>
          <w:sz w:val="24"/>
          <w:szCs w:val="24"/>
        </w:rPr>
        <w:t xml:space="preserve"> + MgO) ratio; 3. lower concentration of Si, Ca, Al and an enrichment of S and probably of Ag; 4. smaller sizes and lower content (10 vol%) of </w:t>
      </w:r>
      <w:hyperlink r:id="rId7" w:tooltip="Learn more about chondrules from ScienceDirect's AI-generated Topic Pages" w:history="1">
        <w:r w:rsidRPr="005520D9">
          <w:rPr>
            <w:rFonts w:ascii="Times New Roman" w:eastAsia="Times New Roman" w:hAnsi="Times New Roman" w:cs="Times New Roman"/>
            <w:color w:val="0000FF"/>
            <w:sz w:val="24"/>
            <w:szCs w:val="24"/>
            <w:u w:val="single"/>
          </w:rPr>
          <w:t>chondrules</w:t>
        </w:r>
      </w:hyperlink>
      <w:r w:rsidRPr="005520D9">
        <w:rPr>
          <w:rFonts w:ascii="Times New Roman" w:eastAsia="Times New Roman" w:hAnsi="Times New Roman" w:cs="Times New Roman"/>
          <w:sz w:val="24"/>
          <w:szCs w:val="24"/>
        </w:rPr>
        <w:t xml:space="preserve"> and their clasts, and correspondingly higher content of matrix; 5. dominance of porphyritic chondrules and lack of nonporphyritic chondrules; 6. occurrence of an amoeboid olivine grain with </w:t>
      </w:r>
      <w:r w:rsidRPr="005520D9">
        <w:rPr>
          <w:rFonts w:ascii="Times New Roman" w:eastAsia="Times New Roman" w:hAnsi="Times New Roman" w:cs="Times New Roman"/>
          <w:sz w:val="24"/>
          <w:szCs w:val="24"/>
          <w:vertAlign w:val="superscript"/>
        </w:rPr>
        <w:t>16</w:t>
      </w:r>
      <w:r w:rsidRPr="005520D9">
        <w:rPr>
          <w:rFonts w:ascii="Times New Roman" w:eastAsia="Times New Roman" w:hAnsi="Times New Roman" w:cs="Times New Roman"/>
          <w:sz w:val="24"/>
          <w:szCs w:val="24"/>
        </w:rPr>
        <w:t>O-rich composition; 7. existence of carbon in three different forms: graphite, carbon-rich material, and organic compounds.</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The bulk chemistry of the xenoliths is similar, but not identical, to that of carbonaceous chondrites, suggesting that they represent a </w:t>
      </w:r>
      <w:hyperlink r:id="rId8" w:tooltip="Learn more about chondrite from ScienceDirect's AI-generated Topic Pages" w:history="1">
        <w:r w:rsidRPr="005520D9">
          <w:rPr>
            <w:rFonts w:ascii="Times New Roman" w:eastAsia="Times New Roman" w:hAnsi="Times New Roman" w:cs="Times New Roman"/>
            <w:color w:val="0000FF"/>
            <w:sz w:val="24"/>
            <w:szCs w:val="24"/>
            <w:u w:val="single"/>
          </w:rPr>
          <w:t>chondrite</w:t>
        </w:r>
      </w:hyperlink>
      <w:r w:rsidRPr="005520D9">
        <w:rPr>
          <w:rFonts w:ascii="Times New Roman" w:eastAsia="Times New Roman" w:hAnsi="Times New Roman" w:cs="Times New Roman"/>
          <w:sz w:val="24"/>
          <w:szCs w:val="24"/>
        </w:rPr>
        <w:t xml:space="preserve"> parent body that has not been previously sampled. Among any known type of meteoritic </w:t>
      </w:r>
      <w:proofErr w:type="gramStart"/>
      <w:r w:rsidRPr="005520D9">
        <w:rPr>
          <w:rFonts w:ascii="Times New Roman" w:eastAsia="Times New Roman" w:hAnsi="Times New Roman" w:cs="Times New Roman"/>
          <w:sz w:val="24"/>
          <w:szCs w:val="24"/>
        </w:rPr>
        <w:t>material</w:t>
      </w:r>
      <w:proofErr w:type="gramEnd"/>
      <w:r w:rsidRPr="005520D9">
        <w:rPr>
          <w:rFonts w:ascii="Times New Roman" w:eastAsia="Times New Roman" w:hAnsi="Times New Roman" w:cs="Times New Roman"/>
          <w:sz w:val="24"/>
          <w:szCs w:val="24"/>
        </w:rPr>
        <w:t xml:space="preserve"> the mineralogy of the xenoliths corresponds only to that of other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graphite-containing xenoliths. It differs, however, from the latter by having a lower grade of metamorphism. We infer that metamorphism of the primary carbonaceous body of the xenoliths and/or shock of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parent body are responsible for the major metamorphic alteration of the xenoliths, including the crystallization of graphite from primary organic compounds.</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A comparison of the features of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xenoliths with the inferred characteristics of cometary meteorites attests that their genetic relationship to cometary material remains highly inconclusive.</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Introduction</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meteorite is one of the most primitive ordinary chondrites. It contains many lithic clasts, some of which are uniquely composed of an exotic material and belong to xenoliths (Semenenko and </w:t>
      </w:r>
      <w:proofErr w:type="spellStart"/>
      <w:r w:rsidRPr="005520D9">
        <w:rPr>
          <w:rFonts w:ascii="Times New Roman" w:eastAsia="Times New Roman" w:hAnsi="Times New Roman" w:cs="Times New Roman"/>
          <w:sz w:val="24"/>
          <w:szCs w:val="24"/>
        </w:rPr>
        <w:t>Girich</w:t>
      </w:r>
      <w:proofErr w:type="spellEnd"/>
      <w:r w:rsidRPr="005520D9">
        <w:rPr>
          <w:rFonts w:ascii="Times New Roman" w:eastAsia="Times New Roman" w:hAnsi="Times New Roman" w:cs="Times New Roman"/>
          <w:sz w:val="24"/>
          <w:szCs w:val="24"/>
        </w:rPr>
        <w:t xml:space="preserve">, 2001). Within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xenoliths, carbonaceous clasts are of high scientific interest due to their unusual chemistry and mineralogy.</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Based on the high Tl/Bi ratio in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w:t>
      </w:r>
      <w:proofErr w:type="spellStart"/>
      <w:r w:rsidRPr="005520D9">
        <w:rPr>
          <w:rFonts w:ascii="Times New Roman" w:eastAsia="Times New Roman" w:hAnsi="Times New Roman" w:cs="Times New Roman"/>
          <w:sz w:val="24"/>
          <w:szCs w:val="24"/>
        </w:rPr>
        <w:t>Laul</w:t>
      </w:r>
      <w:proofErr w:type="spellEnd"/>
      <w:r w:rsidRPr="005520D9">
        <w:rPr>
          <w:rFonts w:ascii="Times New Roman" w:eastAsia="Times New Roman" w:hAnsi="Times New Roman" w:cs="Times New Roman"/>
          <w:sz w:val="24"/>
          <w:szCs w:val="24"/>
        </w:rPr>
        <w:t xml:space="preserve"> et al. (1973) suggested the presence of a volatile-rich, late nebular condensate. An enigmatic petrographic carrier of the volatiles was called “</w:t>
      </w:r>
      <w:proofErr w:type="spellStart"/>
      <w:r w:rsidRPr="005520D9">
        <w:rPr>
          <w:rFonts w:ascii="Times New Roman" w:eastAsia="Times New Roman" w:hAnsi="Times New Roman" w:cs="Times New Roman"/>
          <w:sz w:val="24"/>
          <w:szCs w:val="24"/>
        </w:rPr>
        <w:t>mysterite</w:t>
      </w:r>
      <w:proofErr w:type="spellEnd"/>
      <w:r w:rsidRPr="005520D9">
        <w:rPr>
          <w:rFonts w:ascii="Times New Roman" w:eastAsia="Times New Roman" w:hAnsi="Times New Roman" w:cs="Times New Roman"/>
          <w:sz w:val="24"/>
          <w:szCs w:val="24"/>
        </w:rPr>
        <w:t>.” Subsequently, Higuchi et al. (1977) found that some dark inclusions and veins of the chondrites represent the enigmatic carrier of the volatiles. Their chemistry and mineralogy are similar, but not identical, to CI and CM carbonaceous chondrites (Leitch and Grossman, 1977).</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lastRenderedPageBreak/>
        <w:t>Based on petrography, noble gases, and minor element concentrations, a dark “</w:t>
      </w:r>
      <w:proofErr w:type="spellStart"/>
      <w:r w:rsidRPr="005520D9">
        <w:rPr>
          <w:rFonts w:ascii="Times New Roman" w:eastAsia="Times New Roman" w:hAnsi="Times New Roman" w:cs="Times New Roman"/>
          <w:sz w:val="24"/>
          <w:szCs w:val="24"/>
        </w:rPr>
        <w:t>mysterite</w:t>
      </w:r>
      <w:proofErr w:type="spellEnd"/>
      <w:r w:rsidRPr="005520D9">
        <w:rPr>
          <w:rFonts w:ascii="Times New Roman" w:eastAsia="Times New Roman" w:hAnsi="Times New Roman" w:cs="Times New Roman"/>
          <w:sz w:val="24"/>
          <w:szCs w:val="24"/>
        </w:rPr>
        <w:t xml:space="preserve">”-containing inclusion in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chondrite was classified as a carbonaceous chondrite of unknown chemical group, enriched in Ag, Tl, and Bi up to </w:t>
      </w:r>
      <w:r w:rsidRPr="005520D9">
        <w:rPr>
          <w:rFonts w:ascii="Cambria Math" w:eastAsia="Times New Roman" w:hAnsi="Cambria Math" w:cs="Cambria Math"/>
          <w:sz w:val="24"/>
          <w:szCs w:val="24"/>
        </w:rPr>
        <w:t>∼</w:t>
      </w:r>
      <w:r w:rsidRPr="005520D9">
        <w:rPr>
          <w:rFonts w:ascii="Times New Roman" w:eastAsia="Times New Roman" w:hAnsi="Times New Roman" w:cs="Times New Roman"/>
          <w:sz w:val="24"/>
          <w:szCs w:val="24"/>
        </w:rPr>
        <w:t xml:space="preserve">1.6× CI (Lewis et al., 1979; Grossman et al., 1980). The inclusion is composed of a fine-grained mixture of silicates and troilite and contains coarse grains of pyroxene, olivine, and rare metal particles. It was speculated that the fine-grained material also contains phyllosilicates (Grossman et al., 1980). Lewis et al. (1979) proposed that the carbonaceous inclusion from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represents a late nebular condensate from a </w:t>
      </w:r>
      <w:proofErr w:type="gramStart"/>
      <w:r w:rsidRPr="005520D9">
        <w:rPr>
          <w:rFonts w:ascii="Times New Roman" w:eastAsia="Times New Roman" w:hAnsi="Times New Roman" w:cs="Times New Roman"/>
          <w:sz w:val="24"/>
          <w:szCs w:val="24"/>
        </w:rPr>
        <w:t>high pressure</w:t>
      </w:r>
      <w:proofErr w:type="gramEnd"/>
      <w:r w:rsidRPr="005520D9">
        <w:rPr>
          <w:rFonts w:ascii="Times New Roman" w:eastAsia="Times New Roman" w:hAnsi="Times New Roman" w:cs="Times New Roman"/>
          <w:sz w:val="24"/>
          <w:szCs w:val="24"/>
        </w:rPr>
        <w:t xml:space="preserve"> region.</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The study of two other carbonaceous inclusions from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with similar mineralogy (Semenenko et al 1991a, Semenenko et al 1991b; Semenenko, 1996) revealed additional distinctive features: 1. presence of silicate-rich rims around one of the inclusions; 2. occurrence of chondrules and their fragments; 3. existence of graphite and organic compounds—aliphatic hydrocarbons, nitrogenized carbonyl compounds and aromatic hydrocarbons; 4. heterogeneous and slightly metamorphosed composition of minerals; 5. locally extremely high concentrations of Ag and enrichment in Zn. The authors suggested that the volatile-rich organic material is composed of organometallic compounds.</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The coexistence of organic compounds and of graphite microcrystals within the slightly metamorphosed material led to the proposal that they were genetically related (Semenenko, 1996).</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In addition, to understand the formation and history of “</w:t>
      </w:r>
      <w:proofErr w:type="spellStart"/>
      <w:r w:rsidRPr="005520D9">
        <w:rPr>
          <w:rFonts w:ascii="Times New Roman" w:eastAsia="Times New Roman" w:hAnsi="Times New Roman" w:cs="Times New Roman"/>
          <w:sz w:val="24"/>
          <w:szCs w:val="24"/>
        </w:rPr>
        <w:t>mysterite</w:t>
      </w:r>
      <w:proofErr w:type="spellEnd"/>
      <w:r w:rsidRPr="005520D9">
        <w:rPr>
          <w:rFonts w:ascii="Times New Roman" w:eastAsia="Times New Roman" w:hAnsi="Times New Roman" w:cs="Times New Roman"/>
          <w:sz w:val="24"/>
          <w:szCs w:val="24"/>
        </w:rPr>
        <w:t xml:space="preserve">” per se, our study was also motivated by the results of an investigation by </w:t>
      </w:r>
      <w:proofErr w:type="spellStart"/>
      <w:r w:rsidRPr="005520D9">
        <w:rPr>
          <w:rFonts w:ascii="Times New Roman" w:eastAsia="Times New Roman" w:hAnsi="Times New Roman" w:cs="Times New Roman"/>
          <w:sz w:val="24"/>
          <w:szCs w:val="24"/>
        </w:rPr>
        <w:t>Campins</w:t>
      </w:r>
      <w:proofErr w:type="spellEnd"/>
      <w:r w:rsidRPr="005520D9">
        <w:rPr>
          <w:rFonts w:ascii="Times New Roman" w:eastAsia="Times New Roman" w:hAnsi="Times New Roman" w:cs="Times New Roman"/>
          <w:sz w:val="24"/>
          <w:szCs w:val="24"/>
        </w:rPr>
        <w:t xml:space="preserve"> and Swindle (1998). These authors had discussed the question that has been asked for a long time (e.g., Anders, 1975): Is cometary material not already on Earth in the form of meteorites from “burned out” cometary nuclei? On the basis of results from the Halley missions (summarized in </w:t>
      </w:r>
      <w:proofErr w:type="spellStart"/>
      <w:r w:rsidRPr="005520D9">
        <w:rPr>
          <w:rFonts w:ascii="Times New Roman" w:eastAsia="Times New Roman" w:hAnsi="Times New Roman" w:cs="Times New Roman"/>
          <w:sz w:val="24"/>
          <w:szCs w:val="24"/>
        </w:rPr>
        <w:t>Jessberger</w:t>
      </w:r>
      <w:proofErr w:type="spellEnd"/>
      <w:r w:rsidRPr="005520D9">
        <w:rPr>
          <w:rFonts w:ascii="Times New Roman" w:eastAsia="Times New Roman" w:hAnsi="Times New Roman" w:cs="Times New Roman"/>
          <w:sz w:val="24"/>
          <w:szCs w:val="24"/>
        </w:rPr>
        <w:t xml:space="preserve">, 1999), </w:t>
      </w:r>
      <w:proofErr w:type="spellStart"/>
      <w:r w:rsidRPr="005520D9">
        <w:rPr>
          <w:rFonts w:ascii="Times New Roman" w:eastAsia="Times New Roman" w:hAnsi="Times New Roman" w:cs="Times New Roman"/>
          <w:sz w:val="24"/>
          <w:szCs w:val="24"/>
        </w:rPr>
        <w:t>Campins</w:t>
      </w:r>
      <w:proofErr w:type="spellEnd"/>
      <w:r w:rsidRPr="005520D9">
        <w:rPr>
          <w:rFonts w:ascii="Times New Roman" w:eastAsia="Times New Roman" w:hAnsi="Times New Roman" w:cs="Times New Roman"/>
          <w:sz w:val="24"/>
          <w:szCs w:val="24"/>
        </w:rPr>
        <w:t xml:space="preserve"> and Swindle (1998) described the expected characteristics of cometary material and suggested that among all known types of meteoritic and xenolithic material, the carbonaceous inclusions from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are the candidates that are most likely to be of cometary origin. To test this hypothesis however, a thorough understanding of the petrology and chemistry of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carbonaceous xenoliths is required. And that is what we set out to attain.</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Here we present the results of a combined mineralogical, chemical, and isotopic study of two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carbonaceous xenoliths, one of them has been previously described by Semenenko et al. (Semenenko et al 1991a, Semenenko et al 1991b; Semenenko, 1996), the other one is new. We find that both xenoliths have similar bulk chemistry and mineralogy and may represent a type of carbonaceous chondrite that has not previously been sampled. Their genetic relationship to cometary material remains highly inconclusive.</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Section snippets</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Samples and instruments</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The carbonaceous xenoliths were found within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chondrite, which belongs to the Meteorite Collection of the Museum of Natural History, National Academy of Sciences (NAS) of Ukraine, Kyiv. The first one (K1) (Semenenko et al 1991a, Semenenko et al 1991b; Semenenko, 1996) was found in two polished, parallel sections of a chondritic plate, as a dark inclusion 4 × 4 × 6 mm. The second one (K3) was revealed on a broken surface of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individual sample 1290/33 (catalogue number of the</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lastRenderedPageBreak/>
        <w:t>Results</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Fine-grained xenoliths K1 and K3 were found in different individual samples of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chondrite. In the hand samples, they are dark, compact, and similar to each other. They show a sharp boundary to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host.</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Discussion</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xenoliths differ from the host by the following chemical, textural and mineralogical features: 1. resemblance of their SiO</w:t>
      </w:r>
      <w:r w:rsidRPr="005520D9">
        <w:rPr>
          <w:rFonts w:ascii="Times New Roman" w:eastAsia="Times New Roman" w:hAnsi="Times New Roman" w:cs="Times New Roman"/>
          <w:sz w:val="24"/>
          <w:szCs w:val="24"/>
          <w:vertAlign w:val="subscript"/>
        </w:rPr>
        <w:t>2</w:t>
      </w:r>
      <w:r w:rsidRPr="005520D9">
        <w:rPr>
          <w:rFonts w:ascii="Times New Roman" w:eastAsia="Times New Roman" w:hAnsi="Times New Roman" w:cs="Times New Roman"/>
          <w:sz w:val="24"/>
          <w:szCs w:val="24"/>
        </w:rPr>
        <w:t xml:space="preserve">/MgO ratio to that of carbonaceous chondrites; 2. higher Fe content and higher </w:t>
      </w:r>
      <w:proofErr w:type="spellStart"/>
      <w:r w:rsidRPr="005520D9">
        <w:rPr>
          <w:rFonts w:ascii="Times New Roman" w:eastAsia="Times New Roman" w:hAnsi="Times New Roman" w:cs="Times New Roman"/>
          <w:sz w:val="24"/>
          <w:szCs w:val="24"/>
        </w:rPr>
        <w:t>FeO</w:t>
      </w:r>
      <w:proofErr w:type="spellEnd"/>
      <w:r w:rsidRPr="005520D9">
        <w:rPr>
          <w:rFonts w:ascii="Times New Roman" w:eastAsia="Times New Roman" w:hAnsi="Times New Roman" w:cs="Times New Roman"/>
          <w:sz w:val="24"/>
          <w:szCs w:val="24"/>
        </w:rPr>
        <w:t>/(</w:t>
      </w:r>
      <w:proofErr w:type="spellStart"/>
      <w:r w:rsidRPr="005520D9">
        <w:rPr>
          <w:rFonts w:ascii="Times New Roman" w:eastAsia="Times New Roman" w:hAnsi="Times New Roman" w:cs="Times New Roman"/>
          <w:sz w:val="24"/>
          <w:szCs w:val="24"/>
        </w:rPr>
        <w:t>FeO</w:t>
      </w:r>
      <w:proofErr w:type="spellEnd"/>
      <w:r w:rsidRPr="005520D9">
        <w:rPr>
          <w:rFonts w:ascii="Times New Roman" w:eastAsia="Times New Roman" w:hAnsi="Times New Roman" w:cs="Times New Roman"/>
          <w:sz w:val="24"/>
          <w:szCs w:val="24"/>
        </w:rPr>
        <w:t xml:space="preserve"> + MgO) ratio; 3. lower concentration of Si, Ca, Al and enrichments of S and probably of Ag and Zn; 4. lower abundance and smaller sizes of chondrules and correspondingly higher abundance of matrix; 5. dominance of porphyritic chondrules and absence of nonporphyritic</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Conclusion</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We studied in detail two exotic carbonaceous xenoliths from the </w:t>
      </w:r>
      <w:proofErr w:type="spellStart"/>
      <w:r w:rsidRPr="005520D9">
        <w:rPr>
          <w:rFonts w:ascii="Times New Roman" w:eastAsia="Times New Roman" w:hAnsi="Times New Roman" w:cs="Times New Roman"/>
          <w:sz w:val="24"/>
          <w:szCs w:val="24"/>
        </w:rPr>
        <w:t>Krymka</w:t>
      </w:r>
      <w:proofErr w:type="spellEnd"/>
      <w:r w:rsidRPr="005520D9">
        <w:rPr>
          <w:rFonts w:ascii="Times New Roman" w:eastAsia="Times New Roman" w:hAnsi="Times New Roman" w:cs="Times New Roman"/>
          <w:sz w:val="24"/>
          <w:szCs w:val="24"/>
        </w:rPr>
        <w:t xml:space="preserve"> chondrite that are very similar in chemistry and identical in mineralogy. The main compositional characteristics of the xenoliths are the presence of carbon in three different forms: perfectly crystallized graphite microcrystals, C-rich areas of unknown material, and organic compounds. The chemical composition classifies the xenoliths as a new kind of carbonaceous chondrite since it does not correspond to any known chemical</w:t>
      </w:r>
    </w:p>
    <w:p w:rsidR="005520D9" w:rsidRPr="005520D9" w:rsidRDefault="005520D9" w:rsidP="005520D9">
      <w:pPr>
        <w:spacing w:before="100" w:beforeAutospacing="1" w:after="100" w:afterAutospacing="1" w:line="240" w:lineRule="auto"/>
        <w:outlineLvl w:val="1"/>
        <w:rPr>
          <w:rFonts w:ascii="Times New Roman" w:eastAsia="Times New Roman" w:hAnsi="Times New Roman" w:cs="Times New Roman"/>
          <w:b/>
          <w:bCs/>
          <w:sz w:val="36"/>
          <w:szCs w:val="36"/>
        </w:rPr>
      </w:pPr>
      <w:r w:rsidRPr="005520D9">
        <w:rPr>
          <w:rFonts w:ascii="Times New Roman" w:eastAsia="Times New Roman" w:hAnsi="Times New Roman" w:cs="Times New Roman"/>
          <w:b/>
          <w:bCs/>
          <w:sz w:val="36"/>
          <w:szCs w:val="36"/>
        </w:rPr>
        <w:t>Acknowledgments</w:t>
      </w:r>
    </w:p>
    <w:p w:rsidR="005520D9" w:rsidRPr="005520D9" w:rsidRDefault="005520D9" w:rsidP="005520D9">
      <w:pPr>
        <w:spacing w:before="100" w:beforeAutospacing="1" w:after="100" w:afterAutospacing="1" w:line="240" w:lineRule="auto"/>
        <w:rPr>
          <w:rFonts w:ascii="Times New Roman" w:eastAsia="Times New Roman" w:hAnsi="Times New Roman" w:cs="Times New Roman"/>
          <w:sz w:val="24"/>
          <w:szCs w:val="24"/>
        </w:rPr>
      </w:pPr>
      <w:r w:rsidRPr="005520D9">
        <w:rPr>
          <w:rFonts w:ascii="Times New Roman" w:eastAsia="Times New Roman" w:hAnsi="Times New Roman" w:cs="Times New Roman"/>
          <w:sz w:val="24"/>
          <w:szCs w:val="24"/>
        </w:rPr>
        <w:t xml:space="preserve">This work was supported by INTAS grant 93-2101 and by the Deutsche </w:t>
      </w:r>
      <w:proofErr w:type="spellStart"/>
      <w:r w:rsidRPr="005520D9">
        <w:rPr>
          <w:rFonts w:ascii="Times New Roman" w:eastAsia="Times New Roman" w:hAnsi="Times New Roman" w:cs="Times New Roman"/>
          <w:sz w:val="24"/>
          <w:szCs w:val="24"/>
        </w:rPr>
        <w:t>Forschungsgemeinschaft</w:t>
      </w:r>
      <w:proofErr w:type="spellEnd"/>
      <w:r w:rsidRPr="005520D9">
        <w:rPr>
          <w:rFonts w:ascii="Times New Roman" w:eastAsia="Times New Roman" w:hAnsi="Times New Roman" w:cs="Times New Roman"/>
          <w:sz w:val="24"/>
          <w:szCs w:val="24"/>
        </w:rPr>
        <w:t xml:space="preserve"> (436UKR 113/51/0-1 and Je96/12-1). We thank C. </w:t>
      </w:r>
      <w:proofErr w:type="spellStart"/>
      <w:r w:rsidRPr="005520D9">
        <w:rPr>
          <w:rFonts w:ascii="Times New Roman" w:eastAsia="Times New Roman" w:hAnsi="Times New Roman" w:cs="Times New Roman"/>
          <w:sz w:val="24"/>
          <w:szCs w:val="24"/>
        </w:rPr>
        <w:t>Perron</w:t>
      </w:r>
      <w:proofErr w:type="spellEnd"/>
      <w:r w:rsidRPr="005520D9">
        <w:rPr>
          <w:rFonts w:ascii="Times New Roman" w:eastAsia="Times New Roman" w:hAnsi="Times New Roman" w:cs="Times New Roman"/>
          <w:sz w:val="24"/>
          <w:szCs w:val="24"/>
        </w:rPr>
        <w:t xml:space="preserve"> for his intellectual and organizational support of the INTAS project. We are grateful to T. </w:t>
      </w:r>
      <w:proofErr w:type="spellStart"/>
      <w:r w:rsidRPr="005520D9">
        <w:rPr>
          <w:rFonts w:ascii="Times New Roman" w:eastAsia="Times New Roman" w:hAnsi="Times New Roman" w:cs="Times New Roman"/>
          <w:sz w:val="24"/>
          <w:szCs w:val="24"/>
        </w:rPr>
        <w:t>Grund</w:t>
      </w:r>
      <w:proofErr w:type="spellEnd"/>
      <w:r w:rsidRPr="005520D9">
        <w:rPr>
          <w:rFonts w:ascii="Times New Roman" w:eastAsia="Times New Roman" w:hAnsi="Times New Roman" w:cs="Times New Roman"/>
          <w:sz w:val="24"/>
          <w:szCs w:val="24"/>
        </w:rPr>
        <w:t xml:space="preserve"> for technical assistance as well as F. </w:t>
      </w:r>
      <w:proofErr w:type="spellStart"/>
      <w:r w:rsidRPr="005520D9">
        <w:rPr>
          <w:rFonts w:ascii="Times New Roman" w:eastAsia="Times New Roman" w:hAnsi="Times New Roman" w:cs="Times New Roman"/>
          <w:sz w:val="24"/>
          <w:szCs w:val="24"/>
        </w:rPr>
        <w:t>Bartschat</w:t>
      </w:r>
      <w:proofErr w:type="spellEnd"/>
      <w:r w:rsidRPr="005520D9">
        <w:rPr>
          <w:rFonts w:ascii="Times New Roman" w:eastAsia="Times New Roman" w:hAnsi="Times New Roman" w:cs="Times New Roman"/>
          <w:sz w:val="24"/>
          <w:szCs w:val="24"/>
        </w:rPr>
        <w:t xml:space="preserve"> and N. V. </w:t>
      </w:r>
      <w:proofErr w:type="spellStart"/>
      <w:r w:rsidRPr="005520D9">
        <w:rPr>
          <w:rFonts w:ascii="Times New Roman" w:eastAsia="Times New Roman" w:hAnsi="Times New Roman" w:cs="Times New Roman"/>
          <w:sz w:val="24"/>
          <w:szCs w:val="24"/>
        </w:rPr>
        <w:t>Kyichan</w:t>
      </w:r>
      <w:proofErr w:type="spellEnd"/>
      <w:r w:rsidRPr="005520D9">
        <w:rPr>
          <w:rFonts w:ascii="Times New Roman" w:eastAsia="Times New Roman" w:hAnsi="Times New Roman" w:cs="Times New Roman"/>
          <w:sz w:val="24"/>
          <w:szCs w:val="24"/>
        </w:rPr>
        <w:t xml:space="preserve"> for help with the preparation of the manuscript. We also thank Associate Editor A. </w:t>
      </w:r>
      <w:proofErr w:type="spellStart"/>
      <w:r w:rsidRPr="005520D9">
        <w:rPr>
          <w:rFonts w:ascii="Times New Roman" w:eastAsia="Times New Roman" w:hAnsi="Times New Roman" w:cs="Times New Roman"/>
          <w:sz w:val="24"/>
          <w:szCs w:val="24"/>
        </w:rPr>
        <w:t>Krot</w:t>
      </w:r>
      <w:proofErr w:type="spellEnd"/>
      <w:r w:rsidRPr="005520D9">
        <w:rPr>
          <w:rFonts w:ascii="Times New Roman" w:eastAsia="Times New Roman" w:hAnsi="Times New Roman" w:cs="Times New Roman"/>
          <w:sz w:val="24"/>
          <w:szCs w:val="24"/>
        </w:rPr>
        <w:t xml:space="preserve"> and our reviewers A. Brearley, A. Rubin and M. </w:t>
      </w:r>
      <w:proofErr w:type="spellStart"/>
      <w:r w:rsidRPr="005520D9">
        <w:rPr>
          <w:rFonts w:ascii="Times New Roman" w:eastAsia="Times New Roman" w:hAnsi="Times New Roman" w:cs="Times New Roman"/>
          <w:sz w:val="24"/>
          <w:szCs w:val="24"/>
        </w:rPr>
        <w:t>Zolensky</w:t>
      </w:r>
      <w:proofErr w:type="spellEnd"/>
      <w:r w:rsidRPr="005520D9">
        <w:rPr>
          <w:rFonts w:ascii="Times New Roman" w:eastAsia="Times New Roman" w:hAnsi="Times New Roman" w:cs="Times New Roman"/>
          <w:sz w:val="24"/>
          <w:szCs w:val="24"/>
        </w:rPr>
        <w:t xml:space="preserve"> for thoughtful reviews that significantly</w:t>
      </w:r>
    </w:p>
    <w:p w:rsidR="001A3E04" w:rsidRDefault="001A3E04"/>
    <w:sectPr w:rsidR="001A3E0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20D9"/>
    <w:rsid w:val="001A3E04"/>
    <w:rsid w:val="005520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CC84C"/>
  <w15:chartTrackingRefBased/>
  <w15:docId w15:val="{D85F4608-1D77-4241-A076-366727E68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3533238">
      <w:bodyDiv w:val="1"/>
      <w:marLeft w:val="0"/>
      <w:marRight w:val="0"/>
      <w:marTop w:val="0"/>
      <w:marBottom w:val="0"/>
      <w:divBdr>
        <w:top w:val="none" w:sz="0" w:space="0" w:color="auto"/>
        <w:left w:val="none" w:sz="0" w:space="0" w:color="auto"/>
        <w:bottom w:val="none" w:sz="0" w:space="0" w:color="auto"/>
        <w:right w:val="none" w:sz="0" w:space="0" w:color="auto"/>
      </w:divBdr>
      <w:divsChild>
        <w:div w:id="1666594136">
          <w:marLeft w:val="0"/>
          <w:marRight w:val="0"/>
          <w:marTop w:val="0"/>
          <w:marBottom w:val="0"/>
          <w:divBdr>
            <w:top w:val="none" w:sz="0" w:space="0" w:color="auto"/>
            <w:left w:val="none" w:sz="0" w:space="0" w:color="auto"/>
            <w:bottom w:val="none" w:sz="0" w:space="0" w:color="auto"/>
            <w:right w:val="none" w:sz="0" w:space="0" w:color="auto"/>
          </w:divBdr>
          <w:divsChild>
            <w:div w:id="1862357637">
              <w:marLeft w:val="0"/>
              <w:marRight w:val="0"/>
              <w:marTop w:val="0"/>
              <w:marBottom w:val="0"/>
              <w:divBdr>
                <w:top w:val="none" w:sz="0" w:space="0" w:color="auto"/>
                <w:left w:val="none" w:sz="0" w:space="0" w:color="auto"/>
                <w:bottom w:val="none" w:sz="0" w:space="0" w:color="auto"/>
                <w:right w:val="none" w:sz="0" w:space="0" w:color="auto"/>
              </w:divBdr>
              <w:divsChild>
                <w:div w:id="283586743">
                  <w:marLeft w:val="0"/>
                  <w:marRight w:val="0"/>
                  <w:marTop w:val="0"/>
                  <w:marBottom w:val="0"/>
                  <w:divBdr>
                    <w:top w:val="none" w:sz="0" w:space="0" w:color="auto"/>
                    <w:left w:val="none" w:sz="0" w:space="0" w:color="auto"/>
                    <w:bottom w:val="none" w:sz="0" w:space="0" w:color="auto"/>
                    <w:right w:val="none" w:sz="0" w:space="0" w:color="auto"/>
                  </w:divBdr>
                  <w:divsChild>
                    <w:div w:id="1972906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545794">
          <w:marLeft w:val="0"/>
          <w:marRight w:val="0"/>
          <w:marTop w:val="0"/>
          <w:marBottom w:val="0"/>
          <w:divBdr>
            <w:top w:val="none" w:sz="0" w:space="0" w:color="auto"/>
            <w:left w:val="none" w:sz="0" w:space="0" w:color="auto"/>
            <w:bottom w:val="none" w:sz="0" w:space="0" w:color="auto"/>
            <w:right w:val="none" w:sz="0" w:space="0" w:color="auto"/>
          </w:divBdr>
          <w:divsChild>
            <w:div w:id="1579316697">
              <w:marLeft w:val="0"/>
              <w:marRight w:val="0"/>
              <w:marTop w:val="0"/>
              <w:marBottom w:val="0"/>
              <w:divBdr>
                <w:top w:val="none" w:sz="0" w:space="0" w:color="auto"/>
                <w:left w:val="none" w:sz="0" w:space="0" w:color="auto"/>
                <w:bottom w:val="none" w:sz="0" w:space="0" w:color="auto"/>
                <w:right w:val="none" w:sz="0" w:space="0" w:color="auto"/>
              </w:divBdr>
              <w:divsChild>
                <w:div w:id="980233468">
                  <w:marLeft w:val="0"/>
                  <w:marRight w:val="0"/>
                  <w:marTop w:val="0"/>
                  <w:marBottom w:val="0"/>
                  <w:divBdr>
                    <w:top w:val="none" w:sz="0" w:space="0" w:color="auto"/>
                    <w:left w:val="none" w:sz="0" w:space="0" w:color="auto"/>
                    <w:bottom w:val="none" w:sz="0" w:space="0" w:color="auto"/>
                    <w:right w:val="none" w:sz="0" w:space="0" w:color="auto"/>
                  </w:divBdr>
                  <w:divsChild>
                    <w:div w:id="43479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563913">
          <w:marLeft w:val="0"/>
          <w:marRight w:val="0"/>
          <w:marTop w:val="0"/>
          <w:marBottom w:val="0"/>
          <w:divBdr>
            <w:top w:val="none" w:sz="0" w:space="0" w:color="auto"/>
            <w:left w:val="none" w:sz="0" w:space="0" w:color="auto"/>
            <w:bottom w:val="none" w:sz="0" w:space="0" w:color="auto"/>
            <w:right w:val="none" w:sz="0" w:space="0" w:color="auto"/>
          </w:divBdr>
          <w:divsChild>
            <w:div w:id="211771493">
              <w:marLeft w:val="0"/>
              <w:marRight w:val="0"/>
              <w:marTop w:val="0"/>
              <w:marBottom w:val="0"/>
              <w:divBdr>
                <w:top w:val="none" w:sz="0" w:space="0" w:color="auto"/>
                <w:left w:val="none" w:sz="0" w:space="0" w:color="auto"/>
                <w:bottom w:val="none" w:sz="0" w:space="0" w:color="auto"/>
                <w:right w:val="none" w:sz="0" w:space="0" w:color="auto"/>
              </w:divBdr>
            </w:div>
          </w:divsChild>
        </w:div>
        <w:div w:id="1967808891">
          <w:marLeft w:val="0"/>
          <w:marRight w:val="0"/>
          <w:marTop w:val="0"/>
          <w:marBottom w:val="0"/>
          <w:divBdr>
            <w:top w:val="none" w:sz="0" w:space="0" w:color="auto"/>
            <w:left w:val="none" w:sz="0" w:space="0" w:color="auto"/>
            <w:bottom w:val="none" w:sz="0" w:space="0" w:color="auto"/>
            <w:right w:val="none" w:sz="0" w:space="0" w:color="auto"/>
          </w:divBdr>
          <w:divsChild>
            <w:div w:id="699747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chondrit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chondrul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arbonaceous-chondrite" TargetMode="External"/><Relationship Id="rId5" Type="http://schemas.openxmlformats.org/officeDocument/2006/relationships/hyperlink" Target="https://www.sciencedirect.com/topics/earth-and-planetary-sciences/xenolith" TargetMode="External"/><Relationship Id="rId10" Type="http://schemas.openxmlformats.org/officeDocument/2006/relationships/theme" Target="theme/theme1.xml"/><Relationship Id="rId4" Type="http://schemas.openxmlformats.org/officeDocument/2006/relationships/hyperlink" Target="https://doi.org/10.1016/j.gca.2004.10.027"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1323</Words>
  <Characters>7543</Characters>
  <Application>Microsoft Office Word</Application>
  <DocSecurity>0</DocSecurity>
  <Lines>62</Lines>
  <Paragraphs>17</Paragraphs>
  <ScaleCrop>false</ScaleCrop>
  <Company/>
  <LinksUpToDate>false</LinksUpToDate>
  <CharactersWithSpaces>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2023-12-23T00:23:00Z</dcterms:created>
  <dcterms:modified xsi:type="dcterms:W3CDTF">2023-12-23T00:24:00Z</dcterms:modified>
</cp:coreProperties>
</file>