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B39A1" w:rsidRPr="00FB39A1" w:rsidRDefault="00FB39A1" w:rsidP="00FB39A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B39A1">
        <w:rPr>
          <w:rFonts w:ascii="Times New Roman" w:eastAsia="Times New Roman" w:hAnsi="Times New Roman" w:cs="Times New Roman"/>
          <w:b/>
          <w:bCs/>
          <w:kern w:val="36"/>
          <w:sz w:val="48"/>
          <w:szCs w:val="48"/>
        </w:rPr>
        <w:t>Hyperfiltration of potassium nitrate through clay membranes under relatively low-head conditions</w:t>
      </w:r>
    </w:p>
    <w:p w:rsidR="00FB39A1" w:rsidRPr="00FB39A1" w:rsidRDefault="00FB39A1" w:rsidP="00FB39A1">
      <w:pPr>
        <w:spacing w:after="0"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Author links open overlay panel</w:t>
      </w:r>
    </w:p>
    <w:p w:rsidR="00FB39A1" w:rsidRPr="00FB39A1" w:rsidRDefault="00FB39A1" w:rsidP="00FB39A1">
      <w:pPr>
        <w:spacing w:after="0"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 xml:space="preserve">, </w:t>
      </w:r>
    </w:p>
    <w:p w:rsidR="00FB39A1" w:rsidRPr="00FB39A1" w:rsidRDefault="00FB39A1" w:rsidP="00FB39A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FB39A1">
          <w:rPr>
            <w:rFonts w:ascii="Times New Roman" w:eastAsia="Times New Roman" w:hAnsi="Times New Roman" w:cs="Times New Roman"/>
            <w:color w:val="0000FF"/>
            <w:sz w:val="24"/>
            <w:szCs w:val="24"/>
            <w:u w:val="single"/>
          </w:rPr>
          <w:t>https://doi.org/10.1016/j.gca.2005.06.016</w:t>
        </w:r>
      </w:hyperlink>
      <w:bookmarkStart w:id="0" w:name="_GoBack"/>
      <w:bookmarkEnd w:id="0"/>
      <w:r w:rsidRPr="00FB39A1">
        <w:rPr>
          <w:rFonts w:ascii="Times New Roman" w:eastAsia="Times New Roman" w:hAnsi="Times New Roman" w:cs="Times New Roman"/>
          <w:sz w:val="24"/>
          <w:szCs w:val="24"/>
        </w:rPr>
        <w:t xml:space="preserve"> </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Abstract</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 xml:space="preserve">Much like </w:t>
      </w:r>
      <w:hyperlink r:id="rId5" w:tooltip="Learn more about reverse osmosis from ScienceDirect's AI-generated Topic Pages" w:history="1">
        <w:r w:rsidRPr="00FB39A1">
          <w:rPr>
            <w:rFonts w:ascii="Times New Roman" w:eastAsia="Times New Roman" w:hAnsi="Times New Roman" w:cs="Times New Roman"/>
            <w:color w:val="0000FF"/>
            <w:sz w:val="24"/>
            <w:szCs w:val="24"/>
            <w:u w:val="single"/>
          </w:rPr>
          <w:t>reverse osmosis</w:t>
        </w:r>
      </w:hyperlink>
      <w:r w:rsidRPr="00FB39A1">
        <w:rPr>
          <w:rFonts w:ascii="Times New Roman" w:eastAsia="Times New Roman" w:hAnsi="Times New Roman" w:cs="Times New Roman"/>
          <w:sz w:val="24"/>
          <w:szCs w:val="24"/>
        </w:rPr>
        <w:t xml:space="preserve"> membranes, clays have been shown to exhibit reverse osmosis properties at high hydraulic heads. To determine if reverse osmosis was possible at lower hydraulic heads, </w:t>
      </w:r>
      <w:hyperlink r:id="rId6" w:tooltip="Learn more about potassium nitrate from ScienceDirect's AI-generated Topic Pages" w:history="1">
        <w:r w:rsidRPr="00FB39A1">
          <w:rPr>
            <w:rFonts w:ascii="Times New Roman" w:eastAsia="Times New Roman" w:hAnsi="Times New Roman" w:cs="Times New Roman"/>
            <w:color w:val="0000FF"/>
            <w:sz w:val="24"/>
            <w:szCs w:val="24"/>
            <w:u w:val="single"/>
          </w:rPr>
          <w:t>potassium nitrate</w:t>
        </w:r>
      </w:hyperlink>
      <w:r w:rsidRPr="00FB39A1">
        <w:rPr>
          <w:rFonts w:ascii="Times New Roman" w:eastAsia="Times New Roman" w:hAnsi="Times New Roman" w:cs="Times New Roman"/>
          <w:sz w:val="24"/>
          <w:szCs w:val="24"/>
        </w:rPr>
        <w:t xml:space="preserve"> solutions were passed through thin clay layers at heads of 1.30 to 1.42 m. In each experiment, concentrations significantly increased due to partial solute rejection by the clay membranes. Concentration increases within the experimental cells were between 131% and 184%. Calculated values of the reflection coefficient ranged between 0.55 to 0.70, suggesting that these thin clay layers exhibited membrane effects. The results of these experiments suggest hyperfiltration may concentrate some dissolved contaminants from below to above regulatory limits in shallow aquifers bounded by a membrane-functioning </w:t>
      </w:r>
      <w:hyperlink r:id="rId7" w:tooltip="Learn more about aquitard from ScienceDirect's AI-generated Topic Pages" w:history="1">
        <w:r w:rsidRPr="00FB39A1">
          <w:rPr>
            <w:rFonts w:ascii="Times New Roman" w:eastAsia="Times New Roman" w:hAnsi="Times New Roman" w:cs="Times New Roman"/>
            <w:color w:val="0000FF"/>
            <w:sz w:val="24"/>
            <w:szCs w:val="24"/>
            <w:u w:val="single"/>
          </w:rPr>
          <w:t>aquitard</w:t>
        </w:r>
      </w:hyperlink>
      <w:r w:rsidRPr="00FB39A1">
        <w:rPr>
          <w:rFonts w:ascii="Times New Roman" w:eastAsia="Times New Roman" w:hAnsi="Times New Roman" w:cs="Times New Roman"/>
          <w:sz w:val="24"/>
          <w:szCs w:val="24"/>
        </w:rPr>
        <w:t xml:space="preserve"> or relatively low hydraulically conductive geologic strata. Hyperfiltration may also control nutrient distributions, creating subsurface microbial “hotspots”. Consideration of hyperfiltration effects may ultimately lead to a clearer understanding of many subsurface processes, both shallow and deep, including contaminant fate and transport, subsurface microbiology, natural bioremediation and attenuation, redox, rock–water interaction, and </w:t>
      </w:r>
      <w:hyperlink r:id="rId8" w:tooltip="Learn more about groundwater chemistry from ScienceDirect's AI-generated Topic Pages" w:history="1">
        <w:r w:rsidRPr="00FB39A1">
          <w:rPr>
            <w:rFonts w:ascii="Times New Roman" w:eastAsia="Times New Roman" w:hAnsi="Times New Roman" w:cs="Times New Roman"/>
            <w:color w:val="0000FF"/>
            <w:sz w:val="24"/>
            <w:szCs w:val="24"/>
            <w:u w:val="single"/>
          </w:rPr>
          <w:t>groundwater chemistry</w:t>
        </w:r>
      </w:hyperlink>
      <w:r w:rsidRPr="00FB39A1">
        <w:rPr>
          <w:rFonts w:ascii="Times New Roman" w:eastAsia="Times New Roman" w:hAnsi="Times New Roman" w:cs="Times New Roman"/>
          <w:sz w:val="24"/>
          <w:szCs w:val="24"/>
        </w:rPr>
        <w:t>.</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Introduction</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Two field studies found nitrate concentrations increased with depth in perched or shallow aquifers (</w:t>
      </w:r>
      <w:proofErr w:type="spellStart"/>
      <w:r w:rsidRPr="00FB39A1">
        <w:rPr>
          <w:rFonts w:ascii="Times New Roman" w:eastAsia="Times New Roman" w:hAnsi="Times New Roman" w:cs="Times New Roman"/>
          <w:sz w:val="24"/>
          <w:szCs w:val="24"/>
        </w:rPr>
        <w:t>Schulmeister</w:t>
      </w:r>
      <w:proofErr w:type="spellEnd"/>
      <w:r w:rsidRPr="00FB39A1">
        <w:rPr>
          <w:rFonts w:ascii="Times New Roman" w:eastAsia="Times New Roman" w:hAnsi="Times New Roman" w:cs="Times New Roman"/>
          <w:sz w:val="24"/>
          <w:szCs w:val="24"/>
        </w:rPr>
        <w:t xml:space="preserve"> et al 2003b, </w:t>
      </w:r>
      <w:proofErr w:type="spellStart"/>
      <w:r w:rsidRPr="00FB39A1">
        <w:rPr>
          <w:rFonts w:ascii="Times New Roman" w:eastAsia="Times New Roman" w:hAnsi="Times New Roman" w:cs="Times New Roman"/>
          <w:sz w:val="24"/>
          <w:szCs w:val="24"/>
        </w:rPr>
        <w:t>Schulmeister</w:t>
      </w:r>
      <w:proofErr w:type="spellEnd"/>
      <w:r w:rsidRPr="00FB39A1">
        <w:rPr>
          <w:rFonts w:ascii="Times New Roman" w:eastAsia="Times New Roman" w:hAnsi="Times New Roman" w:cs="Times New Roman"/>
          <w:sz w:val="24"/>
          <w:szCs w:val="24"/>
        </w:rPr>
        <w:t xml:space="preserve"> et al 2004, Smith et al 1991) and three studies found an increase in chloride concentrations with depth towards bounding clay layers (Smith et al 1991, Johnson and Chou 1998, Ronen et al 1987). Although several explanations, such as different water sources and differing levels of microbiological activity, can be offered for such solute concentration increases, hyperfiltration by clay-rich aquitards (relatively impermeable geologic strata) should also be considered as a possible mechanism for such solute concentration profiles.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Hyperfiltration, also known as solute-sieving or reverse osmosis, occurs when flow of solution, with an initial solute concentration c</w:t>
      </w:r>
      <w:r w:rsidRPr="00FB39A1">
        <w:rPr>
          <w:rFonts w:ascii="Times New Roman" w:eastAsia="Times New Roman" w:hAnsi="Times New Roman" w:cs="Times New Roman"/>
          <w:sz w:val="24"/>
          <w:szCs w:val="24"/>
          <w:vertAlign w:val="subscript"/>
        </w:rPr>
        <w:t>i</w:t>
      </w:r>
      <w:r w:rsidRPr="00FB39A1">
        <w:rPr>
          <w:rFonts w:ascii="Times New Roman" w:eastAsia="Times New Roman" w:hAnsi="Times New Roman" w:cs="Times New Roman"/>
          <w:sz w:val="24"/>
          <w:szCs w:val="24"/>
        </w:rPr>
        <w:t xml:space="preserve"> (Fig. 1A), through a membrane-functioning aquitard causes a build-up of solute on the high-pressure side of the membrane (Fig. 1B) due to rejection of some of the solute by the membrane. This zone of increased concentration is known as the concentration polarization layer (CPL), and c</w:t>
      </w:r>
      <w:r w:rsidRPr="00FB39A1">
        <w:rPr>
          <w:rFonts w:ascii="Times New Roman" w:eastAsia="Times New Roman" w:hAnsi="Times New Roman" w:cs="Times New Roman"/>
          <w:sz w:val="24"/>
          <w:szCs w:val="24"/>
          <w:vertAlign w:val="subscript"/>
        </w:rPr>
        <w:t>o</w:t>
      </w:r>
      <w:r w:rsidRPr="00FB39A1">
        <w:rPr>
          <w:rFonts w:ascii="Times New Roman" w:eastAsia="Times New Roman" w:hAnsi="Times New Roman" w:cs="Times New Roman"/>
          <w:sz w:val="24"/>
          <w:szCs w:val="24"/>
        </w:rPr>
        <w:t xml:space="preserve"> is defined as the maximum solute concentration located immediately adjacent to the membrane. As solute concentrations increase near the high-pressure membrane face, the membrane efficiency or ability to selectively reject solutes decreases due to exposure to increasing concentrations of dissolved solutes. Eventually, the solute concentration at the membrane ultimately reaches a maximum steady-state value, assuming no chemical or biological reactions occur (Fritz and Marine, 1983).</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lastRenderedPageBreak/>
        <w:t xml:space="preserve">Numerous laboratory experiments have demonstrated that clays and shales can exhibit hyperfiltration effects at high hydraulic heads (Fritz and Marine 1983, </w:t>
      </w:r>
      <w:proofErr w:type="spellStart"/>
      <w:r w:rsidRPr="00FB39A1">
        <w:rPr>
          <w:rFonts w:ascii="Times New Roman" w:eastAsia="Times New Roman" w:hAnsi="Times New Roman" w:cs="Times New Roman"/>
          <w:sz w:val="24"/>
          <w:szCs w:val="24"/>
        </w:rPr>
        <w:t>Kharaka</w:t>
      </w:r>
      <w:proofErr w:type="spellEnd"/>
      <w:r w:rsidRPr="00FB39A1">
        <w:rPr>
          <w:rFonts w:ascii="Times New Roman" w:eastAsia="Times New Roman" w:hAnsi="Times New Roman" w:cs="Times New Roman"/>
          <w:sz w:val="24"/>
          <w:szCs w:val="24"/>
        </w:rPr>
        <w:t xml:space="preserve"> and Berry 1973, </w:t>
      </w:r>
      <w:proofErr w:type="spellStart"/>
      <w:r w:rsidRPr="00FB39A1">
        <w:rPr>
          <w:rFonts w:ascii="Times New Roman" w:eastAsia="Times New Roman" w:hAnsi="Times New Roman" w:cs="Times New Roman"/>
          <w:sz w:val="24"/>
          <w:szCs w:val="24"/>
        </w:rPr>
        <w:t>Benzel</w:t>
      </w:r>
      <w:proofErr w:type="spellEnd"/>
      <w:r w:rsidRPr="00FB39A1">
        <w:rPr>
          <w:rFonts w:ascii="Times New Roman" w:eastAsia="Times New Roman" w:hAnsi="Times New Roman" w:cs="Times New Roman"/>
          <w:sz w:val="24"/>
          <w:szCs w:val="24"/>
        </w:rPr>
        <w:t xml:space="preserve"> and Graf 1984, Fritz and Whitworth 1994, </w:t>
      </w:r>
      <w:proofErr w:type="spellStart"/>
      <w:r w:rsidRPr="00FB39A1">
        <w:rPr>
          <w:rFonts w:ascii="Times New Roman" w:eastAsia="Times New Roman" w:hAnsi="Times New Roman" w:cs="Times New Roman"/>
          <w:sz w:val="24"/>
          <w:szCs w:val="24"/>
        </w:rPr>
        <w:t>Liangxiong</w:t>
      </w:r>
      <w:proofErr w:type="spellEnd"/>
      <w:r w:rsidRPr="00FB39A1">
        <w:rPr>
          <w:rFonts w:ascii="Times New Roman" w:eastAsia="Times New Roman" w:hAnsi="Times New Roman" w:cs="Times New Roman"/>
          <w:sz w:val="24"/>
          <w:szCs w:val="24"/>
        </w:rPr>
        <w:t xml:space="preserve"> et al 2003). Osmotic and diffusion membrane properties of clays have also been shown in many laboratory experiments (Low 1955, Kemper and Evans 1963, </w:t>
      </w:r>
      <w:proofErr w:type="spellStart"/>
      <w:r w:rsidRPr="00FB39A1">
        <w:rPr>
          <w:rFonts w:ascii="Times New Roman" w:eastAsia="Times New Roman" w:hAnsi="Times New Roman" w:cs="Times New Roman"/>
          <w:sz w:val="24"/>
          <w:szCs w:val="24"/>
        </w:rPr>
        <w:t>Kocherginsky</w:t>
      </w:r>
      <w:proofErr w:type="spellEnd"/>
      <w:r w:rsidRPr="00FB39A1">
        <w:rPr>
          <w:rFonts w:ascii="Times New Roman" w:eastAsia="Times New Roman" w:hAnsi="Times New Roman" w:cs="Times New Roman"/>
          <w:sz w:val="24"/>
          <w:szCs w:val="24"/>
        </w:rPr>
        <w:t xml:space="preserve"> and Stucki 2001). A number of field studies have also alluded to subsurface clay membrane effects based on regional water chemistry measurements, (Phillips et al 1986, </w:t>
      </w:r>
      <w:proofErr w:type="spellStart"/>
      <w:r w:rsidRPr="00FB39A1">
        <w:rPr>
          <w:rFonts w:ascii="Times New Roman" w:eastAsia="Times New Roman" w:hAnsi="Times New Roman" w:cs="Times New Roman"/>
          <w:sz w:val="24"/>
          <w:szCs w:val="24"/>
        </w:rPr>
        <w:t>Hitchon</w:t>
      </w:r>
      <w:proofErr w:type="spellEnd"/>
      <w:r w:rsidRPr="00FB39A1">
        <w:rPr>
          <w:rFonts w:ascii="Times New Roman" w:eastAsia="Times New Roman" w:hAnsi="Times New Roman" w:cs="Times New Roman"/>
          <w:sz w:val="24"/>
          <w:szCs w:val="24"/>
        </w:rPr>
        <w:t xml:space="preserve"> and Friedman 1969, </w:t>
      </w:r>
      <w:proofErr w:type="spellStart"/>
      <w:r w:rsidRPr="00FB39A1">
        <w:rPr>
          <w:rFonts w:ascii="Times New Roman" w:eastAsia="Times New Roman" w:hAnsi="Times New Roman" w:cs="Times New Roman"/>
          <w:sz w:val="24"/>
          <w:szCs w:val="24"/>
        </w:rPr>
        <w:t>Nuezil</w:t>
      </w:r>
      <w:proofErr w:type="spellEnd"/>
      <w:r w:rsidRPr="00FB39A1">
        <w:rPr>
          <w:rFonts w:ascii="Times New Roman" w:eastAsia="Times New Roman" w:hAnsi="Times New Roman" w:cs="Times New Roman"/>
          <w:sz w:val="24"/>
          <w:szCs w:val="24"/>
        </w:rPr>
        <w:t xml:space="preserve"> 2000, Becker 1892). Geologic processes thought to involve clay membrane processes include 1) sedimentary ore formation (Becker 1892, Mackay 1946, </w:t>
      </w:r>
      <w:proofErr w:type="spellStart"/>
      <w:r w:rsidRPr="00FB39A1">
        <w:rPr>
          <w:rFonts w:ascii="Times New Roman" w:eastAsia="Times New Roman" w:hAnsi="Times New Roman" w:cs="Times New Roman"/>
          <w:sz w:val="24"/>
          <w:szCs w:val="24"/>
        </w:rPr>
        <w:t>Lueth</w:t>
      </w:r>
      <w:proofErr w:type="spellEnd"/>
      <w:r w:rsidRPr="00FB39A1">
        <w:rPr>
          <w:rFonts w:ascii="Times New Roman" w:eastAsia="Times New Roman" w:hAnsi="Times New Roman" w:cs="Times New Roman"/>
          <w:sz w:val="24"/>
          <w:szCs w:val="24"/>
        </w:rPr>
        <w:t xml:space="preserve"> and Whitworth 2001), 2) cementation and diagenesis (Fothergill 1955, Fritz and </w:t>
      </w:r>
      <w:proofErr w:type="spellStart"/>
      <w:r w:rsidRPr="00FB39A1">
        <w:rPr>
          <w:rFonts w:ascii="Times New Roman" w:eastAsia="Times New Roman" w:hAnsi="Times New Roman" w:cs="Times New Roman"/>
          <w:sz w:val="24"/>
          <w:szCs w:val="24"/>
        </w:rPr>
        <w:t>Eady</w:t>
      </w:r>
      <w:proofErr w:type="spellEnd"/>
      <w:r w:rsidRPr="00FB39A1">
        <w:rPr>
          <w:rFonts w:ascii="Times New Roman" w:eastAsia="Times New Roman" w:hAnsi="Times New Roman" w:cs="Times New Roman"/>
          <w:sz w:val="24"/>
          <w:szCs w:val="24"/>
        </w:rPr>
        <w:t xml:space="preserve"> 1985), 3) fractionation of solute isotopes (</w:t>
      </w:r>
      <w:proofErr w:type="spellStart"/>
      <w:r w:rsidRPr="00FB39A1">
        <w:rPr>
          <w:rFonts w:ascii="Times New Roman" w:eastAsia="Times New Roman" w:hAnsi="Times New Roman" w:cs="Times New Roman"/>
          <w:sz w:val="24"/>
          <w:szCs w:val="24"/>
        </w:rPr>
        <w:t>Benzel</w:t>
      </w:r>
      <w:proofErr w:type="spellEnd"/>
      <w:r w:rsidRPr="00FB39A1">
        <w:rPr>
          <w:rFonts w:ascii="Times New Roman" w:eastAsia="Times New Roman" w:hAnsi="Times New Roman" w:cs="Times New Roman"/>
          <w:sz w:val="24"/>
          <w:szCs w:val="24"/>
        </w:rPr>
        <w:t xml:space="preserve"> and Graf 1984, Fritz and Whitworth 1994, </w:t>
      </w:r>
      <w:proofErr w:type="spellStart"/>
      <w:r w:rsidRPr="00FB39A1">
        <w:rPr>
          <w:rFonts w:ascii="Times New Roman" w:eastAsia="Times New Roman" w:hAnsi="Times New Roman" w:cs="Times New Roman"/>
          <w:sz w:val="24"/>
          <w:szCs w:val="24"/>
        </w:rPr>
        <w:t>Coplen</w:t>
      </w:r>
      <w:proofErr w:type="spellEnd"/>
      <w:r w:rsidRPr="00FB39A1">
        <w:rPr>
          <w:rFonts w:ascii="Times New Roman" w:eastAsia="Times New Roman" w:hAnsi="Times New Roman" w:cs="Times New Roman"/>
          <w:sz w:val="24"/>
          <w:szCs w:val="24"/>
        </w:rPr>
        <w:t xml:space="preserve"> and </w:t>
      </w:r>
      <w:proofErr w:type="spellStart"/>
      <w:r w:rsidRPr="00FB39A1">
        <w:rPr>
          <w:rFonts w:ascii="Times New Roman" w:eastAsia="Times New Roman" w:hAnsi="Times New Roman" w:cs="Times New Roman"/>
          <w:sz w:val="24"/>
          <w:szCs w:val="24"/>
        </w:rPr>
        <w:t>Hanshaw</w:t>
      </w:r>
      <w:proofErr w:type="spellEnd"/>
      <w:r w:rsidRPr="00FB39A1">
        <w:rPr>
          <w:rFonts w:ascii="Times New Roman" w:eastAsia="Times New Roman" w:hAnsi="Times New Roman" w:cs="Times New Roman"/>
          <w:sz w:val="24"/>
          <w:szCs w:val="24"/>
        </w:rPr>
        <w:t xml:space="preserve"> 1973, Fritz et al 1987), 4) groundwater sampling (Fritz and Whitworth, 1994), 5) subsurface petroleum accumulation (Magara, 1974), and 6) thrust faulting (</w:t>
      </w:r>
      <w:proofErr w:type="spellStart"/>
      <w:r w:rsidRPr="00FB39A1">
        <w:rPr>
          <w:rFonts w:ascii="Times New Roman" w:eastAsia="Times New Roman" w:hAnsi="Times New Roman" w:cs="Times New Roman"/>
          <w:sz w:val="24"/>
          <w:szCs w:val="24"/>
        </w:rPr>
        <w:t>Hanshaw</w:t>
      </w:r>
      <w:proofErr w:type="spellEnd"/>
      <w:r w:rsidRPr="00FB39A1">
        <w:rPr>
          <w:rFonts w:ascii="Times New Roman" w:eastAsia="Times New Roman" w:hAnsi="Times New Roman" w:cs="Times New Roman"/>
          <w:sz w:val="24"/>
          <w:szCs w:val="24"/>
        </w:rPr>
        <w:t xml:space="preserve"> and Zen, 1965). Acceptance of subsurface geologic membrane effects have been slow to emerge in the geosciences—in part because hydraulic heads used in the laboratory (50.7 to 2062 m, Fritz and Marine 1983, </w:t>
      </w:r>
      <w:proofErr w:type="spellStart"/>
      <w:r w:rsidRPr="00FB39A1">
        <w:rPr>
          <w:rFonts w:ascii="Times New Roman" w:eastAsia="Times New Roman" w:hAnsi="Times New Roman" w:cs="Times New Roman"/>
          <w:sz w:val="24"/>
          <w:szCs w:val="24"/>
        </w:rPr>
        <w:t>Kharaka</w:t>
      </w:r>
      <w:proofErr w:type="spellEnd"/>
      <w:r w:rsidRPr="00FB39A1">
        <w:rPr>
          <w:rFonts w:ascii="Times New Roman" w:eastAsia="Times New Roman" w:hAnsi="Times New Roman" w:cs="Times New Roman"/>
          <w:sz w:val="24"/>
          <w:szCs w:val="24"/>
        </w:rPr>
        <w:t xml:space="preserve"> and Berry 1973, Fritz and Whitworth 1994, Milne et al 1963) are much greater than those thought to commonly exist in the subsurface (</w:t>
      </w:r>
      <w:proofErr w:type="spellStart"/>
      <w:r w:rsidRPr="00FB39A1">
        <w:rPr>
          <w:rFonts w:ascii="Times New Roman" w:eastAsia="Times New Roman" w:hAnsi="Times New Roman" w:cs="Times New Roman"/>
          <w:sz w:val="24"/>
          <w:szCs w:val="24"/>
        </w:rPr>
        <w:t>Nuezil</w:t>
      </w:r>
      <w:proofErr w:type="spellEnd"/>
      <w:r w:rsidRPr="00FB39A1">
        <w:rPr>
          <w:rFonts w:ascii="Times New Roman" w:eastAsia="Times New Roman" w:hAnsi="Times New Roman" w:cs="Times New Roman"/>
          <w:sz w:val="24"/>
          <w:szCs w:val="24"/>
        </w:rPr>
        <w:t>, 1986) and hyperfiltration effects have not been previously demonstrated to occur at lower heads.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One natural scenario where lower head hyperfiltration may occur is in perched aquifers underlain by clay-rich aquitards. In a perched aquifer the water depth is equal to the head across the lower bounding aquitard. Water depths of one to two meters are common in shallow perched aquifers. Similar subsurface head differences across clay bounding layers have previously been reported. Pressures in artesian aquifers (often bounded by shales or clays) can be quite high. For example, a well drilled in 1841 in the Paris Basin to a depth of 1798 feet into an artesian aquifer produced a column of water many feet into the air (Tolman, 1937). This represents a head across the aquitard of at least 548 meters and a hydraulic head of 312 (Tolman, 1937). High hydraulic gradients occur throughout the Normandy Bathonian aquifer (Delhomme, 1979). Other wells in the lower portions of the alluvial fans in southwestern U. S. alluvial basins produce artesian flows that extend from less than a meter to as much as 115 meters above the ground across very thin clay lamellae of 2.5 cm to 1 m thick, which represent gradients from 115 to 46,000 (Paulsen, 1949).</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 xml:space="preserve">Previous modelling has predicted that hyperfiltration effects can be significant with only one or two meters of hydrostatic head (Whitworth, 1998). </w:t>
      </w:r>
      <w:proofErr w:type="gramStart"/>
      <w:r w:rsidRPr="00FB39A1">
        <w:rPr>
          <w:rFonts w:ascii="Times New Roman" w:eastAsia="Times New Roman" w:hAnsi="Times New Roman" w:cs="Times New Roman"/>
          <w:sz w:val="24"/>
          <w:szCs w:val="24"/>
        </w:rPr>
        <w:t>Therefore</w:t>
      </w:r>
      <w:proofErr w:type="gramEnd"/>
      <w:r w:rsidRPr="00FB39A1">
        <w:rPr>
          <w:rFonts w:ascii="Times New Roman" w:eastAsia="Times New Roman" w:hAnsi="Times New Roman" w:cs="Times New Roman"/>
          <w:sz w:val="24"/>
          <w:szCs w:val="24"/>
        </w:rPr>
        <w:t xml:space="preserve"> we experimentally tested hyperfiltration effects of thin (0.0011 to 0.0025 m) smectite and kaolinite clay layers using constant heads of 1.30 to 1.42 m to determine whether a significant hyperfiltration-induced concentration build-up of potassium nitrate is possible.</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We chose nitrate as the solute for these experiments because nitrate is a significant drinking water contaminant in the U.S. (Nolan and Stoner, 2000), as well as in many other parts of the world (</w:t>
      </w:r>
      <w:proofErr w:type="spellStart"/>
      <w:r w:rsidRPr="00FB39A1">
        <w:rPr>
          <w:rFonts w:ascii="Times New Roman" w:eastAsia="Times New Roman" w:hAnsi="Times New Roman" w:cs="Times New Roman"/>
          <w:sz w:val="24"/>
          <w:szCs w:val="24"/>
        </w:rPr>
        <w:t>Gleick</w:t>
      </w:r>
      <w:proofErr w:type="spellEnd"/>
      <w:r w:rsidRPr="00FB39A1">
        <w:rPr>
          <w:rFonts w:ascii="Times New Roman" w:eastAsia="Times New Roman" w:hAnsi="Times New Roman" w:cs="Times New Roman"/>
          <w:sz w:val="24"/>
          <w:szCs w:val="24"/>
        </w:rPr>
        <w:t>, 1993). Excessive nitrate ingestion can cause diseases such as methemoglobinemia (blue baby syndrome), nasopharyngeal cancer, stomach cancer, and numerous other cancers (Nolan and Stoner, 2000). Methemoglobinemia is the most prevalent disease associated with excessive nitrate consumption from contaminated drinking water (Nolan and Stoner, 2000). At sufficiently high levels, nitrate poisoning, or methemoglobinemia can be lethal (Nolan and Stoner, 2000).</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Section snippets</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Methods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lastRenderedPageBreak/>
        <w:t xml:space="preserve">We used commercial Na-smectite (Wyoming Bentonite) as well as kaolinite collected from an outcrop located on the south side of Highway 60E (33°53’22“N, 106°44’21” W) east of San Antonio, New Mexico. Both clays were identified via X-ray diffraction. In these </w:t>
      </w:r>
      <w:proofErr w:type="gramStart"/>
      <w:r w:rsidRPr="00FB39A1">
        <w:rPr>
          <w:rFonts w:ascii="Times New Roman" w:eastAsia="Times New Roman" w:hAnsi="Times New Roman" w:cs="Times New Roman"/>
          <w:sz w:val="24"/>
          <w:szCs w:val="24"/>
        </w:rPr>
        <w:t>experiments</w:t>
      </w:r>
      <w:proofErr w:type="gramEnd"/>
      <w:r w:rsidRPr="00FB39A1">
        <w:rPr>
          <w:rFonts w:ascii="Times New Roman" w:eastAsia="Times New Roman" w:hAnsi="Times New Roman" w:cs="Times New Roman"/>
          <w:sz w:val="24"/>
          <w:szCs w:val="24"/>
        </w:rPr>
        <w:t xml:space="preserve"> dilute potassium nitrate solutions, prepared from reagent grade chemicals, were passed through thin kaolinite and Na-smectite membranes contained within experimental cells similar to those used in previous experimental work (Fig. </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Results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All experiments resulted in significant increases in potassium nitrate concentration within the experimental cell. Initial feed solution nitrate concentrations ranged between 29 and 36 ppm (4.677–5.806 × 10</w:t>
      </w:r>
      <w:r w:rsidRPr="00FB39A1">
        <w:rPr>
          <w:rFonts w:ascii="Times New Roman" w:eastAsia="Times New Roman" w:hAnsi="Times New Roman" w:cs="Times New Roman"/>
          <w:sz w:val="24"/>
          <w:szCs w:val="24"/>
          <w:vertAlign w:val="superscript"/>
        </w:rPr>
        <w:t>−4</w:t>
      </w:r>
      <w:r w:rsidRPr="00FB39A1">
        <w:rPr>
          <w:rFonts w:ascii="Times New Roman" w:eastAsia="Times New Roman" w:hAnsi="Times New Roman" w:cs="Times New Roman"/>
          <w:sz w:val="24"/>
          <w:szCs w:val="24"/>
        </w:rPr>
        <w:t xml:space="preserve"> M), slightly below the current U.S. Environmental Protection Agency regulatory limit (10 ppm nitrate as nitrogen or </w:t>
      </w:r>
      <w:r w:rsidRPr="00FB39A1">
        <w:rPr>
          <w:rFonts w:ascii="Cambria Math" w:eastAsia="Times New Roman" w:hAnsi="Cambria Math" w:cs="Cambria Math"/>
          <w:sz w:val="24"/>
          <w:szCs w:val="24"/>
        </w:rPr>
        <w:t>∼</w:t>
      </w:r>
      <w:r w:rsidRPr="00FB39A1">
        <w:rPr>
          <w:rFonts w:ascii="Times New Roman" w:eastAsia="Times New Roman" w:hAnsi="Times New Roman" w:cs="Times New Roman"/>
          <w:sz w:val="24"/>
          <w:szCs w:val="24"/>
        </w:rPr>
        <w:t>43 ppm [6.935 × 10</w:t>
      </w:r>
      <w:r w:rsidRPr="00FB39A1">
        <w:rPr>
          <w:rFonts w:ascii="Times New Roman" w:eastAsia="Times New Roman" w:hAnsi="Times New Roman" w:cs="Times New Roman"/>
          <w:sz w:val="24"/>
          <w:szCs w:val="24"/>
          <w:vertAlign w:val="superscript"/>
        </w:rPr>
        <w:t>−4</w:t>
      </w:r>
      <w:r w:rsidRPr="00FB39A1">
        <w:rPr>
          <w:rFonts w:ascii="Times New Roman" w:eastAsia="Times New Roman" w:hAnsi="Times New Roman" w:cs="Times New Roman"/>
          <w:sz w:val="24"/>
          <w:szCs w:val="24"/>
        </w:rPr>
        <w:t xml:space="preserve"> M] nitrate) or the World Health Organization recommendation (50 ppm or 8.064 × 10</w:t>
      </w:r>
      <w:r w:rsidRPr="00FB39A1">
        <w:rPr>
          <w:rFonts w:ascii="Times New Roman" w:eastAsia="Times New Roman" w:hAnsi="Times New Roman" w:cs="Times New Roman"/>
          <w:sz w:val="24"/>
          <w:szCs w:val="24"/>
          <w:vertAlign w:val="superscript"/>
        </w:rPr>
        <w:t>−4</w:t>
      </w:r>
      <w:r w:rsidRPr="00FB39A1">
        <w:rPr>
          <w:rFonts w:ascii="Times New Roman" w:eastAsia="Times New Roman" w:hAnsi="Times New Roman" w:cs="Times New Roman"/>
          <w:sz w:val="24"/>
          <w:szCs w:val="24"/>
        </w:rPr>
        <w:t xml:space="preserve"> M nitrate). Two of the three experiments resulted in ending cell</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Discussion</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 xml:space="preserve">These experiments were performed at heads (1.30 to 1.42 m) significantly lower than any previously reported for hyperfiltration experiments. These are not only the lowest pressure head hyperfiltration experiments reported, but also the lowest effective hydraulic gradients reported for hyperfiltration experiments (85 to 1841 times less) as seen in Table 2 (Fritz and Marine 1983, Fritz and Whitworth 1994, </w:t>
      </w:r>
      <w:proofErr w:type="spellStart"/>
      <w:r w:rsidRPr="00FB39A1">
        <w:rPr>
          <w:rFonts w:ascii="Times New Roman" w:eastAsia="Times New Roman" w:hAnsi="Times New Roman" w:cs="Times New Roman"/>
          <w:sz w:val="24"/>
          <w:szCs w:val="24"/>
        </w:rPr>
        <w:t>Kharaka</w:t>
      </w:r>
      <w:proofErr w:type="spellEnd"/>
      <w:r w:rsidRPr="00FB39A1">
        <w:rPr>
          <w:rFonts w:ascii="Times New Roman" w:eastAsia="Times New Roman" w:hAnsi="Times New Roman" w:cs="Times New Roman"/>
          <w:sz w:val="24"/>
          <w:szCs w:val="24"/>
        </w:rPr>
        <w:t xml:space="preserve"> and Berry 1973; McKelvey and Milne, 1960; Whitworth and DeRosa, 1997). Lower</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Conclusions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Potassium nitrate solutions were passed through thin smectite and kaolinite layers at heads of 1.30 to 1.42 m, lower than used in previous experiments. In each experiment, concentrations significantly increased due to partial solute rejection by the clay membranes. Concentration increases within the cell were between 131% and 184%. Calculated values of the reflection coefficient ranged from 0.55 to 0.70, suggesting that these thin clay layers exhibited membrane effects.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In conclusion, these</w:t>
      </w:r>
    </w:p>
    <w:p w:rsidR="00FB39A1" w:rsidRPr="00FB39A1" w:rsidRDefault="00FB39A1" w:rsidP="00FB39A1">
      <w:pPr>
        <w:spacing w:before="100" w:beforeAutospacing="1" w:after="100" w:afterAutospacing="1" w:line="240" w:lineRule="auto"/>
        <w:outlineLvl w:val="1"/>
        <w:rPr>
          <w:rFonts w:ascii="Times New Roman" w:eastAsia="Times New Roman" w:hAnsi="Times New Roman" w:cs="Times New Roman"/>
          <w:b/>
          <w:bCs/>
          <w:sz w:val="36"/>
          <w:szCs w:val="36"/>
        </w:rPr>
      </w:pPr>
      <w:r w:rsidRPr="00FB39A1">
        <w:rPr>
          <w:rFonts w:ascii="Times New Roman" w:eastAsia="Times New Roman" w:hAnsi="Times New Roman" w:cs="Times New Roman"/>
          <w:b/>
          <w:bCs/>
          <w:sz w:val="36"/>
          <w:szCs w:val="36"/>
        </w:rPr>
        <w:t>Acknowledgments</w:t>
      </w:r>
    </w:p>
    <w:p w:rsidR="00FB39A1" w:rsidRPr="00FB39A1" w:rsidRDefault="00FB39A1" w:rsidP="00FB39A1">
      <w:pPr>
        <w:spacing w:before="100" w:beforeAutospacing="1" w:after="100" w:afterAutospacing="1" w:line="240" w:lineRule="auto"/>
        <w:rPr>
          <w:rFonts w:ascii="Times New Roman" w:eastAsia="Times New Roman" w:hAnsi="Times New Roman" w:cs="Times New Roman"/>
          <w:sz w:val="24"/>
          <w:szCs w:val="24"/>
        </w:rPr>
      </w:pPr>
      <w:r w:rsidRPr="00FB39A1">
        <w:rPr>
          <w:rFonts w:ascii="Times New Roman" w:eastAsia="Times New Roman" w:hAnsi="Times New Roman" w:cs="Times New Roman"/>
          <w:sz w:val="24"/>
          <w:szCs w:val="24"/>
        </w:rPr>
        <w:t xml:space="preserve">This research was funded by USDA grant 1999-35102-11699. We would like to thank Dr. Eliot </w:t>
      </w:r>
      <w:proofErr w:type="spellStart"/>
      <w:r w:rsidRPr="00FB39A1">
        <w:rPr>
          <w:rFonts w:ascii="Times New Roman" w:eastAsia="Times New Roman" w:hAnsi="Times New Roman" w:cs="Times New Roman"/>
          <w:sz w:val="24"/>
          <w:szCs w:val="24"/>
        </w:rPr>
        <w:t>Atekwana</w:t>
      </w:r>
      <w:proofErr w:type="spellEnd"/>
      <w:r w:rsidRPr="00FB39A1">
        <w:rPr>
          <w:rFonts w:ascii="Times New Roman" w:eastAsia="Times New Roman" w:hAnsi="Times New Roman" w:cs="Times New Roman"/>
          <w:sz w:val="24"/>
          <w:szCs w:val="24"/>
        </w:rPr>
        <w:t xml:space="preserve"> for his critical </w:t>
      </w:r>
      <w:proofErr w:type="spellStart"/>
      <w:r w:rsidRPr="00FB39A1">
        <w:rPr>
          <w:rFonts w:ascii="Times New Roman" w:eastAsia="Times New Roman" w:hAnsi="Times New Roman" w:cs="Times New Roman"/>
          <w:sz w:val="24"/>
          <w:szCs w:val="24"/>
        </w:rPr>
        <w:t>presubmission</w:t>
      </w:r>
      <w:proofErr w:type="spellEnd"/>
      <w:r w:rsidRPr="00FB39A1">
        <w:rPr>
          <w:rFonts w:ascii="Times New Roman" w:eastAsia="Times New Roman" w:hAnsi="Times New Roman" w:cs="Times New Roman"/>
          <w:sz w:val="24"/>
          <w:szCs w:val="24"/>
        </w:rPr>
        <w:t xml:space="preserve"> review of the manuscript. We thank M. Mormile, R. </w:t>
      </w:r>
      <w:proofErr w:type="spellStart"/>
      <w:r w:rsidRPr="00FB39A1">
        <w:rPr>
          <w:rFonts w:ascii="Times New Roman" w:eastAsia="Times New Roman" w:hAnsi="Times New Roman" w:cs="Times New Roman"/>
          <w:sz w:val="24"/>
          <w:szCs w:val="24"/>
        </w:rPr>
        <w:t>Saindon</w:t>
      </w:r>
      <w:proofErr w:type="spellEnd"/>
      <w:r w:rsidRPr="00FB39A1">
        <w:rPr>
          <w:rFonts w:ascii="Times New Roman" w:eastAsia="Times New Roman" w:hAnsi="Times New Roman" w:cs="Times New Roman"/>
          <w:sz w:val="24"/>
          <w:szCs w:val="24"/>
        </w:rPr>
        <w:t xml:space="preserve">, and D. </w:t>
      </w:r>
      <w:proofErr w:type="spellStart"/>
      <w:r w:rsidRPr="00FB39A1">
        <w:rPr>
          <w:rFonts w:ascii="Times New Roman" w:eastAsia="Times New Roman" w:hAnsi="Times New Roman" w:cs="Times New Roman"/>
          <w:sz w:val="24"/>
          <w:szCs w:val="24"/>
        </w:rPr>
        <w:t>Derrington</w:t>
      </w:r>
      <w:proofErr w:type="spellEnd"/>
      <w:r w:rsidRPr="00FB39A1">
        <w:rPr>
          <w:rFonts w:ascii="Times New Roman" w:eastAsia="Times New Roman" w:hAnsi="Times New Roman" w:cs="Times New Roman"/>
          <w:sz w:val="24"/>
          <w:szCs w:val="24"/>
        </w:rPr>
        <w:t xml:space="preserve"> for laboratory assistance. We also thank Marcia </w:t>
      </w:r>
      <w:proofErr w:type="spellStart"/>
      <w:r w:rsidRPr="00FB39A1">
        <w:rPr>
          <w:rFonts w:ascii="Times New Roman" w:eastAsia="Times New Roman" w:hAnsi="Times New Roman" w:cs="Times New Roman"/>
          <w:sz w:val="24"/>
          <w:szCs w:val="24"/>
        </w:rPr>
        <w:t>Schulmeister</w:t>
      </w:r>
      <w:proofErr w:type="spellEnd"/>
      <w:r w:rsidRPr="00FB39A1">
        <w:rPr>
          <w:rFonts w:ascii="Times New Roman" w:eastAsia="Times New Roman" w:hAnsi="Times New Roman" w:cs="Times New Roman"/>
          <w:sz w:val="24"/>
          <w:szCs w:val="24"/>
        </w:rPr>
        <w:t xml:space="preserve"> and two anonymous reviewers for their thoughtful evaluation of this paper.</w:t>
      </w:r>
    </w:p>
    <w:p w:rsidR="001A45E0" w:rsidRDefault="001A45E0"/>
    <w:sectPr w:rsidR="001A45E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9A1"/>
    <w:rsid w:val="001A45E0"/>
    <w:rsid w:val="00FB39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A5B59"/>
  <w15:chartTrackingRefBased/>
  <w15:docId w15:val="{69F9CA1F-0BFD-41EA-92B9-0707E6330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8091978">
      <w:bodyDiv w:val="1"/>
      <w:marLeft w:val="0"/>
      <w:marRight w:val="0"/>
      <w:marTop w:val="0"/>
      <w:marBottom w:val="0"/>
      <w:divBdr>
        <w:top w:val="none" w:sz="0" w:space="0" w:color="auto"/>
        <w:left w:val="none" w:sz="0" w:space="0" w:color="auto"/>
        <w:bottom w:val="none" w:sz="0" w:space="0" w:color="auto"/>
        <w:right w:val="none" w:sz="0" w:space="0" w:color="auto"/>
      </w:divBdr>
      <w:divsChild>
        <w:div w:id="1357459297">
          <w:marLeft w:val="0"/>
          <w:marRight w:val="0"/>
          <w:marTop w:val="0"/>
          <w:marBottom w:val="0"/>
          <w:divBdr>
            <w:top w:val="none" w:sz="0" w:space="0" w:color="auto"/>
            <w:left w:val="none" w:sz="0" w:space="0" w:color="auto"/>
            <w:bottom w:val="none" w:sz="0" w:space="0" w:color="auto"/>
            <w:right w:val="none" w:sz="0" w:space="0" w:color="auto"/>
          </w:divBdr>
          <w:divsChild>
            <w:div w:id="1694990310">
              <w:marLeft w:val="0"/>
              <w:marRight w:val="0"/>
              <w:marTop w:val="0"/>
              <w:marBottom w:val="0"/>
              <w:divBdr>
                <w:top w:val="none" w:sz="0" w:space="0" w:color="auto"/>
                <w:left w:val="none" w:sz="0" w:space="0" w:color="auto"/>
                <w:bottom w:val="none" w:sz="0" w:space="0" w:color="auto"/>
                <w:right w:val="none" w:sz="0" w:space="0" w:color="auto"/>
              </w:divBdr>
              <w:divsChild>
                <w:div w:id="1151021813">
                  <w:marLeft w:val="0"/>
                  <w:marRight w:val="0"/>
                  <w:marTop w:val="0"/>
                  <w:marBottom w:val="0"/>
                  <w:divBdr>
                    <w:top w:val="none" w:sz="0" w:space="0" w:color="auto"/>
                    <w:left w:val="none" w:sz="0" w:space="0" w:color="auto"/>
                    <w:bottom w:val="none" w:sz="0" w:space="0" w:color="auto"/>
                    <w:right w:val="none" w:sz="0" w:space="0" w:color="auto"/>
                  </w:divBdr>
                  <w:divsChild>
                    <w:div w:id="68991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781925">
          <w:marLeft w:val="0"/>
          <w:marRight w:val="0"/>
          <w:marTop w:val="0"/>
          <w:marBottom w:val="0"/>
          <w:divBdr>
            <w:top w:val="none" w:sz="0" w:space="0" w:color="auto"/>
            <w:left w:val="none" w:sz="0" w:space="0" w:color="auto"/>
            <w:bottom w:val="none" w:sz="0" w:space="0" w:color="auto"/>
            <w:right w:val="none" w:sz="0" w:space="0" w:color="auto"/>
          </w:divBdr>
          <w:divsChild>
            <w:div w:id="916130500">
              <w:marLeft w:val="0"/>
              <w:marRight w:val="0"/>
              <w:marTop w:val="0"/>
              <w:marBottom w:val="0"/>
              <w:divBdr>
                <w:top w:val="none" w:sz="0" w:space="0" w:color="auto"/>
                <w:left w:val="none" w:sz="0" w:space="0" w:color="auto"/>
                <w:bottom w:val="none" w:sz="0" w:space="0" w:color="auto"/>
                <w:right w:val="none" w:sz="0" w:space="0" w:color="auto"/>
              </w:divBdr>
              <w:divsChild>
                <w:div w:id="1986472517">
                  <w:marLeft w:val="0"/>
                  <w:marRight w:val="0"/>
                  <w:marTop w:val="0"/>
                  <w:marBottom w:val="0"/>
                  <w:divBdr>
                    <w:top w:val="none" w:sz="0" w:space="0" w:color="auto"/>
                    <w:left w:val="none" w:sz="0" w:space="0" w:color="auto"/>
                    <w:bottom w:val="none" w:sz="0" w:space="0" w:color="auto"/>
                    <w:right w:val="none" w:sz="0" w:space="0" w:color="auto"/>
                  </w:divBdr>
                  <w:divsChild>
                    <w:div w:id="68629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298095">
          <w:marLeft w:val="0"/>
          <w:marRight w:val="0"/>
          <w:marTop w:val="0"/>
          <w:marBottom w:val="0"/>
          <w:divBdr>
            <w:top w:val="none" w:sz="0" w:space="0" w:color="auto"/>
            <w:left w:val="none" w:sz="0" w:space="0" w:color="auto"/>
            <w:bottom w:val="none" w:sz="0" w:space="0" w:color="auto"/>
            <w:right w:val="none" w:sz="0" w:space="0" w:color="auto"/>
          </w:divBdr>
          <w:divsChild>
            <w:div w:id="1164277555">
              <w:marLeft w:val="0"/>
              <w:marRight w:val="0"/>
              <w:marTop w:val="0"/>
              <w:marBottom w:val="0"/>
              <w:divBdr>
                <w:top w:val="none" w:sz="0" w:space="0" w:color="auto"/>
                <w:left w:val="none" w:sz="0" w:space="0" w:color="auto"/>
                <w:bottom w:val="none" w:sz="0" w:space="0" w:color="auto"/>
                <w:right w:val="none" w:sz="0" w:space="0" w:color="auto"/>
              </w:divBdr>
            </w:div>
          </w:divsChild>
        </w:div>
        <w:div w:id="1870295693">
          <w:marLeft w:val="0"/>
          <w:marRight w:val="0"/>
          <w:marTop w:val="0"/>
          <w:marBottom w:val="0"/>
          <w:divBdr>
            <w:top w:val="none" w:sz="0" w:space="0" w:color="auto"/>
            <w:left w:val="none" w:sz="0" w:space="0" w:color="auto"/>
            <w:bottom w:val="none" w:sz="0" w:space="0" w:color="auto"/>
            <w:right w:val="none" w:sz="0" w:space="0" w:color="auto"/>
          </w:divBdr>
          <w:divsChild>
            <w:div w:id="476652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roundwater-chemistry"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aquitar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otassium-nitrate" TargetMode="External"/><Relationship Id="rId5" Type="http://schemas.openxmlformats.org/officeDocument/2006/relationships/hyperlink" Target="https://www.sciencedirect.com/topics/earth-and-planetary-sciences/reverse-osmosis" TargetMode="External"/><Relationship Id="rId10" Type="http://schemas.openxmlformats.org/officeDocument/2006/relationships/theme" Target="theme/theme1.xml"/><Relationship Id="rId4" Type="http://schemas.openxmlformats.org/officeDocument/2006/relationships/hyperlink" Target="https://doi.org/10.1016/j.gca.2005.06.016"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1511</Words>
  <Characters>8616</Characters>
  <Application>Microsoft Office Word</Application>
  <DocSecurity>0</DocSecurity>
  <Lines>71</Lines>
  <Paragraphs>20</Paragraphs>
  <ScaleCrop>false</ScaleCrop>
  <Company/>
  <LinksUpToDate>false</LinksUpToDate>
  <CharactersWithSpaces>10107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2023-11-11T08:08:00Z</dcterms:created>
  <dcterms:modified xsi:type="dcterms:W3CDTF">2023-11-11T08:09:00Z</dcterms:modified>
</cp:coreProperties>
</file>