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53339A" w:rsidRPr="0053339A" w:rsidRDefault="0053339A" w:rsidP="0053339A">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53339A">
        <w:rPr>
          <w:rFonts w:ascii="Times New Roman" w:eastAsia="Times New Roman" w:hAnsi="Times New Roman" w:cs="Times New Roman"/>
          <w:b/>
          <w:bCs/>
          <w:kern w:val="36"/>
          <w:sz w:val="48"/>
          <w:szCs w:val="48"/>
        </w:rPr>
        <w:t>Ab initio molecular orbital calculations for boron isotope fractionations on boric acids and borates</w:t>
      </w:r>
    </w:p>
    <w:p w:rsidR="0053339A" w:rsidRPr="0053339A" w:rsidRDefault="0053339A" w:rsidP="0053339A">
      <w:pPr>
        <w:spacing w:after="0" w:line="240" w:lineRule="auto"/>
        <w:rPr>
          <w:rFonts w:ascii="Times New Roman" w:eastAsia="Times New Roman" w:hAnsi="Times New Roman" w:cs="Times New Roman"/>
          <w:sz w:val="24"/>
          <w:szCs w:val="24"/>
        </w:rPr>
      </w:pPr>
      <w:r w:rsidRPr="0053339A">
        <w:rPr>
          <w:rFonts w:ascii="Times New Roman" w:eastAsia="Times New Roman" w:hAnsi="Times New Roman" w:cs="Times New Roman"/>
          <w:sz w:val="24"/>
          <w:szCs w:val="24"/>
        </w:rPr>
        <w:t>Author links open overlay panel</w:t>
      </w:r>
    </w:p>
    <w:p w:rsidR="0053339A" w:rsidRPr="0053339A" w:rsidRDefault="0053339A" w:rsidP="0053339A">
      <w:pPr>
        <w:spacing w:after="0" w:line="240" w:lineRule="auto"/>
        <w:rPr>
          <w:rFonts w:ascii="Times New Roman" w:eastAsia="Times New Roman" w:hAnsi="Times New Roman" w:cs="Times New Roman"/>
          <w:sz w:val="24"/>
          <w:szCs w:val="24"/>
        </w:rPr>
      </w:pPr>
      <w:r w:rsidRPr="0053339A">
        <w:rPr>
          <w:rFonts w:ascii="Times New Roman" w:eastAsia="Times New Roman" w:hAnsi="Times New Roman" w:cs="Times New Roman"/>
          <w:sz w:val="24"/>
          <w:szCs w:val="24"/>
        </w:rPr>
        <w:t xml:space="preserve">, </w:t>
      </w:r>
    </w:p>
    <w:p w:rsidR="0053339A" w:rsidRPr="0053339A" w:rsidRDefault="0053339A" w:rsidP="0053339A">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53339A">
          <w:rPr>
            <w:rFonts w:ascii="Times New Roman" w:eastAsia="Times New Roman" w:hAnsi="Times New Roman" w:cs="Times New Roman"/>
            <w:color w:val="0000FF"/>
            <w:sz w:val="24"/>
            <w:szCs w:val="24"/>
            <w:u w:val="single"/>
          </w:rPr>
          <w:t>https://doi.org/10.1016/j.gca.2005.04.009</w:t>
        </w:r>
      </w:hyperlink>
      <w:bookmarkStart w:id="0" w:name="_GoBack"/>
      <w:bookmarkEnd w:id="0"/>
      <w:r w:rsidRPr="0053339A">
        <w:rPr>
          <w:rFonts w:ascii="Times New Roman" w:eastAsia="Times New Roman" w:hAnsi="Times New Roman" w:cs="Times New Roman"/>
          <w:sz w:val="24"/>
          <w:szCs w:val="24"/>
        </w:rPr>
        <w:t xml:space="preserve"> </w:t>
      </w:r>
    </w:p>
    <w:p w:rsidR="0053339A" w:rsidRPr="0053339A" w:rsidRDefault="0053339A" w:rsidP="0053339A">
      <w:pPr>
        <w:spacing w:before="100" w:beforeAutospacing="1" w:after="100" w:afterAutospacing="1" w:line="240" w:lineRule="auto"/>
        <w:outlineLvl w:val="1"/>
        <w:rPr>
          <w:rFonts w:ascii="Times New Roman" w:eastAsia="Times New Roman" w:hAnsi="Times New Roman" w:cs="Times New Roman"/>
          <w:b/>
          <w:bCs/>
          <w:sz w:val="36"/>
          <w:szCs w:val="36"/>
        </w:rPr>
      </w:pPr>
      <w:r w:rsidRPr="0053339A">
        <w:rPr>
          <w:rFonts w:ascii="Times New Roman" w:eastAsia="Times New Roman" w:hAnsi="Times New Roman" w:cs="Times New Roman"/>
          <w:b/>
          <w:bCs/>
          <w:sz w:val="36"/>
          <w:szCs w:val="36"/>
        </w:rPr>
        <w:t>Abstract</w:t>
      </w:r>
    </w:p>
    <w:p w:rsidR="0053339A" w:rsidRPr="0053339A" w:rsidRDefault="0053339A" w:rsidP="0053339A">
      <w:pPr>
        <w:spacing w:before="100" w:beforeAutospacing="1" w:after="100" w:afterAutospacing="1" w:line="240" w:lineRule="auto"/>
        <w:rPr>
          <w:rFonts w:ascii="Times New Roman" w:eastAsia="Times New Roman" w:hAnsi="Times New Roman" w:cs="Times New Roman"/>
          <w:sz w:val="24"/>
          <w:szCs w:val="24"/>
        </w:rPr>
      </w:pPr>
      <w:r w:rsidRPr="0053339A">
        <w:rPr>
          <w:rFonts w:ascii="Times New Roman" w:eastAsia="Times New Roman" w:hAnsi="Times New Roman" w:cs="Times New Roman"/>
          <w:sz w:val="24"/>
          <w:szCs w:val="24"/>
        </w:rPr>
        <w:t>Ab initio quantum chemistry calculations have been performed on the isotopic exchange reaction between B(OH)</w:t>
      </w:r>
      <w:r w:rsidRPr="0053339A">
        <w:rPr>
          <w:rFonts w:ascii="Times New Roman" w:eastAsia="Times New Roman" w:hAnsi="Times New Roman" w:cs="Times New Roman"/>
          <w:sz w:val="24"/>
          <w:szCs w:val="24"/>
          <w:vertAlign w:val="subscript"/>
        </w:rPr>
        <w:t>3</w:t>
      </w:r>
      <w:r w:rsidRPr="0053339A">
        <w:rPr>
          <w:rFonts w:ascii="Times New Roman" w:eastAsia="Times New Roman" w:hAnsi="Times New Roman" w:cs="Times New Roman"/>
          <w:sz w:val="24"/>
          <w:szCs w:val="24"/>
        </w:rPr>
        <w:t xml:space="preserve"> and B(OH)</w:t>
      </w:r>
      <w:r w:rsidRPr="0053339A">
        <w:rPr>
          <w:rFonts w:ascii="Times New Roman" w:eastAsia="Times New Roman" w:hAnsi="Times New Roman" w:cs="Times New Roman"/>
          <w:sz w:val="24"/>
          <w:szCs w:val="24"/>
          <w:vertAlign w:val="subscript"/>
        </w:rPr>
        <w:t>4</w:t>
      </w:r>
      <w:r w:rsidRPr="0053339A">
        <w:rPr>
          <w:rFonts w:ascii="Times New Roman" w:eastAsia="Times New Roman" w:hAnsi="Times New Roman" w:cs="Times New Roman"/>
          <w:sz w:val="24"/>
          <w:szCs w:val="24"/>
          <w:vertAlign w:val="superscript"/>
        </w:rPr>
        <w:t>−</w:t>
      </w:r>
      <w:r w:rsidRPr="0053339A">
        <w:rPr>
          <w:rFonts w:ascii="Times New Roman" w:eastAsia="Times New Roman" w:hAnsi="Times New Roman" w:cs="Times New Roman"/>
          <w:sz w:val="24"/>
          <w:szCs w:val="24"/>
        </w:rPr>
        <w:t xml:space="preserve">. Several calculation methods have been carefully compared and evaluated. The “water-droplet” method is chosen to investigate this isotope exchange reaction using cluster models with up to 34 water molecules surrounding the solute. HF/6-31G* level calculations coupled with a 0.920 scaling factor are used for the frequency calculations. A larger </w:t>
      </w:r>
      <w:r w:rsidRPr="0053339A">
        <w:rPr>
          <w:rFonts w:ascii="Times New Roman" w:eastAsia="Times New Roman" w:hAnsi="Times New Roman" w:cs="Times New Roman"/>
          <w:i/>
          <w:iCs/>
          <w:sz w:val="24"/>
          <w:szCs w:val="24"/>
        </w:rPr>
        <w:t>K</w:t>
      </w:r>
      <w:r w:rsidRPr="0053339A">
        <w:rPr>
          <w:rFonts w:ascii="Times New Roman" w:eastAsia="Times New Roman" w:hAnsi="Times New Roman" w:cs="Times New Roman"/>
          <w:sz w:val="24"/>
          <w:szCs w:val="24"/>
        </w:rPr>
        <w:t xml:space="preserve"> value (1.027) is obtained from this study compared to the commonly used 1.0194 (</w:t>
      </w:r>
      <w:proofErr w:type="spellStart"/>
      <w:r w:rsidRPr="0053339A">
        <w:rPr>
          <w:rFonts w:ascii="Times New Roman" w:eastAsia="Times New Roman" w:hAnsi="Times New Roman" w:cs="Times New Roman"/>
          <w:sz w:val="24"/>
          <w:szCs w:val="24"/>
        </w:rPr>
        <w:t>Kakihana</w:t>
      </w:r>
      <w:proofErr w:type="spellEnd"/>
      <w:r w:rsidRPr="0053339A">
        <w:rPr>
          <w:rFonts w:ascii="Times New Roman" w:eastAsia="Times New Roman" w:hAnsi="Times New Roman" w:cs="Times New Roman"/>
          <w:sz w:val="24"/>
          <w:szCs w:val="24"/>
        </w:rPr>
        <w:t xml:space="preserve"> et al., 1977).</w:t>
      </w:r>
    </w:p>
    <w:p w:rsidR="0053339A" w:rsidRPr="0053339A" w:rsidRDefault="0053339A" w:rsidP="0053339A">
      <w:pPr>
        <w:spacing w:before="100" w:beforeAutospacing="1" w:after="100" w:afterAutospacing="1" w:line="240" w:lineRule="auto"/>
        <w:rPr>
          <w:rFonts w:ascii="Times New Roman" w:eastAsia="Times New Roman" w:hAnsi="Times New Roman" w:cs="Times New Roman"/>
          <w:sz w:val="24"/>
          <w:szCs w:val="24"/>
        </w:rPr>
      </w:pPr>
      <w:r w:rsidRPr="0053339A">
        <w:rPr>
          <w:rFonts w:ascii="Times New Roman" w:eastAsia="Times New Roman" w:hAnsi="Times New Roman" w:cs="Times New Roman"/>
          <w:sz w:val="24"/>
          <w:szCs w:val="24"/>
        </w:rPr>
        <w:t xml:space="preserve">The fractionations for several </w:t>
      </w:r>
      <w:hyperlink r:id="rId5" w:tooltip="Learn more about boric acid from ScienceDirect's AI-generated Topic Pages" w:history="1">
        <w:r w:rsidRPr="0053339A">
          <w:rPr>
            <w:rFonts w:ascii="Times New Roman" w:eastAsia="Times New Roman" w:hAnsi="Times New Roman" w:cs="Times New Roman"/>
            <w:color w:val="0000FF"/>
            <w:sz w:val="24"/>
            <w:szCs w:val="24"/>
            <w:u w:val="single"/>
          </w:rPr>
          <w:t>boric acid</w:t>
        </w:r>
      </w:hyperlink>
      <w:r w:rsidRPr="0053339A">
        <w:rPr>
          <w:rFonts w:ascii="Times New Roman" w:eastAsia="Times New Roman" w:hAnsi="Times New Roman" w:cs="Times New Roman"/>
          <w:sz w:val="24"/>
          <w:szCs w:val="24"/>
        </w:rPr>
        <w:t xml:space="preserve"> polymers and boron minerals are also studied. Our results suggest that assuming the BO</w:t>
      </w:r>
      <w:r w:rsidRPr="0053339A">
        <w:rPr>
          <w:rFonts w:ascii="Times New Roman" w:eastAsia="Times New Roman" w:hAnsi="Times New Roman" w:cs="Times New Roman"/>
          <w:sz w:val="24"/>
          <w:szCs w:val="24"/>
          <w:vertAlign w:val="subscript"/>
        </w:rPr>
        <w:t>4</w:t>
      </w:r>
      <w:r w:rsidRPr="0053339A">
        <w:rPr>
          <w:rFonts w:ascii="Times New Roman" w:eastAsia="Times New Roman" w:hAnsi="Times New Roman" w:cs="Times New Roman"/>
          <w:sz w:val="24"/>
          <w:szCs w:val="24"/>
        </w:rPr>
        <w:t xml:space="preserve"> bonding in B(OH)</w:t>
      </w:r>
      <w:r w:rsidRPr="0053339A">
        <w:rPr>
          <w:rFonts w:ascii="Times New Roman" w:eastAsia="Times New Roman" w:hAnsi="Times New Roman" w:cs="Times New Roman"/>
          <w:sz w:val="24"/>
          <w:szCs w:val="24"/>
          <w:vertAlign w:val="subscript"/>
        </w:rPr>
        <w:t>4</w:t>
      </w:r>
      <w:r w:rsidRPr="0053339A">
        <w:rPr>
          <w:rFonts w:ascii="Times New Roman" w:eastAsia="Times New Roman" w:hAnsi="Times New Roman" w:cs="Times New Roman"/>
          <w:sz w:val="24"/>
          <w:szCs w:val="24"/>
          <w:vertAlign w:val="superscript"/>
        </w:rPr>
        <w:t>−</w:t>
      </w:r>
      <w:r w:rsidRPr="0053339A">
        <w:rPr>
          <w:rFonts w:ascii="Times New Roman" w:eastAsia="Times New Roman" w:hAnsi="Times New Roman" w:cs="Times New Roman"/>
          <w:sz w:val="24"/>
          <w:szCs w:val="24"/>
        </w:rPr>
        <w:t xml:space="preserve"> is identical to that in </w:t>
      </w:r>
      <w:proofErr w:type="spellStart"/>
      <w:r w:rsidRPr="0053339A">
        <w:rPr>
          <w:rFonts w:ascii="Times New Roman" w:eastAsia="Times New Roman" w:hAnsi="Times New Roman" w:cs="Times New Roman"/>
          <w:sz w:val="24"/>
          <w:szCs w:val="24"/>
        </w:rPr>
        <w:t>borosilicates</w:t>
      </w:r>
      <w:proofErr w:type="spellEnd"/>
      <w:r w:rsidRPr="0053339A">
        <w:rPr>
          <w:rFonts w:ascii="Times New Roman" w:eastAsia="Times New Roman" w:hAnsi="Times New Roman" w:cs="Times New Roman"/>
          <w:sz w:val="24"/>
          <w:szCs w:val="24"/>
        </w:rPr>
        <w:t xml:space="preserve"> is wrong. Tetrahedral boron in silicates has a significantly smaller reduced isotopic partition function ratio (RPFR) and hence will be much isotopically lighter than in B(OH)</w:t>
      </w:r>
      <w:r w:rsidRPr="0053339A">
        <w:rPr>
          <w:rFonts w:ascii="Times New Roman" w:eastAsia="Times New Roman" w:hAnsi="Times New Roman" w:cs="Times New Roman"/>
          <w:sz w:val="24"/>
          <w:szCs w:val="24"/>
          <w:vertAlign w:val="subscript"/>
        </w:rPr>
        <w:t>4</w:t>
      </w:r>
      <w:r w:rsidRPr="0053339A">
        <w:rPr>
          <w:rFonts w:ascii="Times New Roman" w:eastAsia="Times New Roman" w:hAnsi="Times New Roman" w:cs="Times New Roman"/>
          <w:sz w:val="24"/>
          <w:szCs w:val="24"/>
          <w:vertAlign w:val="superscript"/>
        </w:rPr>
        <w:t>−</w:t>
      </w:r>
      <w:r w:rsidRPr="0053339A">
        <w:rPr>
          <w:rFonts w:ascii="Times New Roman" w:eastAsia="Times New Roman" w:hAnsi="Times New Roman" w:cs="Times New Roman"/>
          <w:sz w:val="24"/>
          <w:szCs w:val="24"/>
        </w:rPr>
        <w:t>.</w:t>
      </w:r>
    </w:p>
    <w:p w:rsidR="0053339A" w:rsidRPr="0053339A" w:rsidRDefault="0053339A" w:rsidP="0053339A">
      <w:pPr>
        <w:spacing w:before="100" w:beforeAutospacing="1" w:after="100" w:afterAutospacing="1" w:line="240" w:lineRule="auto"/>
        <w:rPr>
          <w:rFonts w:ascii="Times New Roman" w:eastAsia="Times New Roman" w:hAnsi="Times New Roman" w:cs="Times New Roman"/>
          <w:sz w:val="24"/>
          <w:szCs w:val="24"/>
        </w:rPr>
      </w:pPr>
      <w:r w:rsidRPr="0053339A">
        <w:rPr>
          <w:rFonts w:ascii="Times New Roman" w:eastAsia="Times New Roman" w:hAnsi="Times New Roman" w:cs="Times New Roman"/>
          <w:sz w:val="24"/>
          <w:szCs w:val="24"/>
        </w:rPr>
        <w:t>The new theoretical curve of pH vs. δ</w:t>
      </w:r>
      <w:r w:rsidRPr="0053339A">
        <w:rPr>
          <w:rFonts w:ascii="Times New Roman" w:eastAsia="Times New Roman" w:hAnsi="Times New Roman" w:cs="Times New Roman"/>
          <w:sz w:val="24"/>
          <w:szCs w:val="24"/>
          <w:vertAlign w:val="superscript"/>
        </w:rPr>
        <w:t>11</w:t>
      </w:r>
      <w:r w:rsidRPr="0053339A">
        <w:rPr>
          <w:rFonts w:ascii="Times New Roman" w:eastAsia="Times New Roman" w:hAnsi="Times New Roman" w:cs="Times New Roman"/>
          <w:sz w:val="24"/>
          <w:szCs w:val="24"/>
        </w:rPr>
        <w:t>B composition of B(OH)</w:t>
      </w:r>
      <w:r w:rsidRPr="0053339A">
        <w:rPr>
          <w:rFonts w:ascii="Times New Roman" w:eastAsia="Times New Roman" w:hAnsi="Times New Roman" w:cs="Times New Roman"/>
          <w:sz w:val="24"/>
          <w:szCs w:val="24"/>
          <w:vertAlign w:val="subscript"/>
        </w:rPr>
        <w:t>4</w:t>
      </w:r>
      <w:r w:rsidRPr="0053339A">
        <w:rPr>
          <w:rFonts w:ascii="Times New Roman" w:eastAsia="Times New Roman" w:hAnsi="Times New Roman" w:cs="Times New Roman"/>
          <w:sz w:val="24"/>
          <w:szCs w:val="24"/>
          <w:vertAlign w:val="superscript"/>
        </w:rPr>
        <w:t>−</w:t>
      </w:r>
      <w:r w:rsidRPr="0053339A">
        <w:rPr>
          <w:rFonts w:ascii="Times New Roman" w:eastAsia="Times New Roman" w:hAnsi="Times New Roman" w:cs="Times New Roman"/>
          <w:sz w:val="24"/>
          <w:szCs w:val="24"/>
        </w:rPr>
        <w:t xml:space="preserve"> using our calculated 1.027 can be used to predict pH values for equilibrium cases such as incorporation into inorganic calcite. We also find that the shape of this curve is very sensitive to both </w:t>
      </w:r>
      <w:r w:rsidRPr="0053339A">
        <w:rPr>
          <w:rFonts w:ascii="Times New Roman" w:eastAsia="Times New Roman" w:hAnsi="Times New Roman" w:cs="Times New Roman"/>
          <w:i/>
          <w:iCs/>
          <w:sz w:val="24"/>
          <w:szCs w:val="24"/>
        </w:rPr>
        <w:t>K</w:t>
      </w:r>
      <w:r w:rsidRPr="0053339A">
        <w:rPr>
          <w:rFonts w:ascii="Times New Roman" w:eastAsia="Times New Roman" w:hAnsi="Times New Roman" w:cs="Times New Roman"/>
          <w:sz w:val="24"/>
          <w:szCs w:val="24"/>
        </w:rPr>
        <w:t xml:space="preserve"> and </w:t>
      </w:r>
      <w:proofErr w:type="spellStart"/>
      <w:r w:rsidRPr="0053339A">
        <w:rPr>
          <w:rFonts w:ascii="Times New Roman" w:eastAsia="Times New Roman" w:hAnsi="Times New Roman" w:cs="Times New Roman"/>
          <w:sz w:val="24"/>
          <w:szCs w:val="24"/>
        </w:rPr>
        <w:t>p</w:t>
      </w:r>
      <w:r w:rsidRPr="0053339A">
        <w:rPr>
          <w:rFonts w:ascii="Times New Roman" w:eastAsia="Times New Roman" w:hAnsi="Times New Roman" w:cs="Times New Roman"/>
          <w:i/>
          <w:iCs/>
          <w:sz w:val="24"/>
          <w:szCs w:val="24"/>
        </w:rPr>
        <w:t>K</w:t>
      </w:r>
      <w:r w:rsidRPr="0053339A">
        <w:rPr>
          <w:rFonts w:ascii="Times New Roman" w:eastAsia="Times New Roman" w:hAnsi="Times New Roman" w:cs="Times New Roman"/>
          <w:sz w:val="24"/>
          <w:szCs w:val="24"/>
          <w:vertAlign w:val="subscript"/>
        </w:rPr>
        <w:t>a</w:t>
      </w:r>
      <w:proofErr w:type="spellEnd"/>
      <w:r w:rsidRPr="0053339A">
        <w:rPr>
          <w:rFonts w:ascii="Times New Roman" w:eastAsia="Times New Roman" w:hAnsi="Times New Roman" w:cs="Times New Roman"/>
          <w:sz w:val="24"/>
          <w:szCs w:val="24"/>
        </w:rPr>
        <w:t xml:space="preserve"> value, giving the possibility of also predicting salinity from the different shapes of the curve.</w:t>
      </w:r>
    </w:p>
    <w:p w:rsidR="0053339A" w:rsidRPr="0053339A" w:rsidRDefault="0053339A" w:rsidP="0053339A">
      <w:pPr>
        <w:spacing w:before="100" w:beforeAutospacing="1" w:after="100" w:afterAutospacing="1" w:line="240" w:lineRule="auto"/>
        <w:outlineLvl w:val="1"/>
        <w:rPr>
          <w:rFonts w:ascii="Times New Roman" w:eastAsia="Times New Roman" w:hAnsi="Times New Roman" w:cs="Times New Roman"/>
          <w:b/>
          <w:bCs/>
          <w:sz w:val="36"/>
          <w:szCs w:val="36"/>
        </w:rPr>
      </w:pPr>
      <w:r w:rsidRPr="0053339A">
        <w:rPr>
          <w:rFonts w:ascii="Times New Roman" w:eastAsia="Times New Roman" w:hAnsi="Times New Roman" w:cs="Times New Roman"/>
          <w:b/>
          <w:bCs/>
          <w:sz w:val="36"/>
          <w:szCs w:val="36"/>
        </w:rPr>
        <w:t>Introduction</w:t>
      </w:r>
    </w:p>
    <w:p w:rsidR="0053339A" w:rsidRPr="0053339A" w:rsidRDefault="0053339A" w:rsidP="0053339A">
      <w:pPr>
        <w:spacing w:before="100" w:beforeAutospacing="1" w:after="100" w:afterAutospacing="1" w:line="240" w:lineRule="auto"/>
        <w:rPr>
          <w:rFonts w:ascii="Times New Roman" w:eastAsia="Times New Roman" w:hAnsi="Times New Roman" w:cs="Times New Roman"/>
          <w:sz w:val="24"/>
          <w:szCs w:val="24"/>
        </w:rPr>
      </w:pPr>
      <w:r w:rsidRPr="0053339A">
        <w:rPr>
          <w:rFonts w:ascii="Times New Roman" w:eastAsia="Times New Roman" w:hAnsi="Times New Roman" w:cs="Times New Roman"/>
          <w:sz w:val="24"/>
          <w:szCs w:val="24"/>
        </w:rPr>
        <w:t>Based on the study of Hemming and Hanson (1992), the stable B isotopic composition (δ</w:t>
      </w:r>
      <w:r w:rsidRPr="0053339A">
        <w:rPr>
          <w:rFonts w:ascii="Times New Roman" w:eastAsia="Times New Roman" w:hAnsi="Times New Roman" w:cs="Times New Roman"/>
          <w:sz w:val="24"/>
          <w:szCs w:val="24"/>
          <w:vertAlign w:val="superscript"/>
        </w:rPr>
        <w:t>11</w:t>
      </w:r>
      <w:r w:rsidRPr="0053339A">
        <w:rPr>
          <w:rFonts w:ascii="Times New Roman" w:eastAsia="Times New Roman" w:hAnsi="Times New Roman" w:cs="Times New Roman"/>
          <w:sz w:val="24"/>
          <w:szCs w:val="24"/>
        </w:rPr>
        <w:t>B) of carbonate has been used as a pH-indicator to reconstruct paleo-pH value of seawater and the paleo-CO</w:t>
      </w:r>
      <w:r w:rsidRPr="0053339A">
        <w:rPr>
          <w:rFonts w:ascii="Times New Roman" w:eastAsia="Times New Roman" w:hAnsi="Times New Roman" w:cs="Times New Roman"/>
          <w:sz w:val="24"/>
          <w:szCs w:val="24"/>
          <w:vertAlign w:val="subscript"/>
        </w:rPr>
        <w:t>2</w:t>
      </w:r>
      <w:r w:rsidRPr="0053339A">
        <w:rPr>
          <w:rFonts w:ascii="Times New Roman" w:eastAsia="Times New Roman" w:hAnsi="Times New Roman" w:cs="Times New Roman"/>
          <w:sz w:val="24"/>
          <w:szCs w:val="24"/>
        </w:rPr>
        <w:t xml:space="preserve"> in the atmosphere (e.g., </w:t>
      </w:r>
      <w:proofErr w:type="spellStart"/>
      <w:r w:rsidRPr="0053339A">
        <w:rPr>
          <w:rFonts w:ascii="Times New Roman" w:eastAsia="Times New Roman" w:hAnsi="Times New Roman" w:cs="Times New Roman"/>
          <w:sz w:val="24"/>
          <w:szCs w:val="24"/>
        </w:rPr>
        <w:t>Spivack</w:t>
      </w:r>
      <w:proofErr w:type="spellEnd"/>
      <w:r w:rsidRPr="0053339A">
        <w:rPr>
          <w:rFonts w:ascii="Times New Roman" w:eastAsia="Times New Roman" w:hAnsi="Times New Roman" w:cs="Times New Roman"/>
          <w:sz w:val="24"/>
          <w:szCs w:val="24"/>
        </w:rPr>
        <w:t xml:space="preserve"> et al 1993, </w:t>
      </w:r>
      <w:proofErr w:type="spellStart"/>
      <w:r w:rsidRPr="0053339A">
        <w:rPr>
          <w:rFonts w:ascii="Times New Roman" w:eastAsia="Times New Roman" w:hAnsi="Times New Roman" w:cs="Times New Roman"/>
          <w:sz w:val="24"/>
          <w:szCs w:val="24"/>
        </w:rPr>
        <w:t>Sanyal</w:t>
      </w:r>
      <w:proofErr w:type="spellEnd"/>
      <w:r w:rsidRPr="0053339A">
        <w:rPr>
          <w:rFonts w:ascii="Times New Roman" w:eastAsia="Times New Roman" w:hAnsi="Times New Roman" w:cs="Times New Roman"/>
          <w:sz w:val="24"/>
          <w:szCs w:val="24"/>
        </w:rPr>
        <w:t xml:space="preserve"> et al 1995, </w:t>
      </w:r>
      <w:proofErr w:type="spellStart"/>
      <w:r w:rsidRPr="0053339A">
        <w:rPr>
          <w:rFonts w:ascii="Times New Roman" w:eastAsia="Times New Roman" w:hAnsi="Times New Roman" w:cs="Times New Roman"/>
          <w:sz w:val="24"/>
          <w:szCs w:val="24"/>
        </w:rPr>
        <w:t>Sanyal</w:t>
      </w:r>
      <w:proofErr w:type="spellEnd"/>
      <w:r w:rsidRPr="0053339A">
        <w:rPr>
          <w:rFonts w:ascii="Times New Roman" w:eastAsia="Times New Roman" w:hAnsi="Times New Roman" w:cs="Times New Roman"/>
          <w:sz w:val="24"/>
          <w:szCs w:val="24"/>
        </w:rPr>
        <w:t xml:space="preserve"> et al 2000, Palmer et al 1998, Pearson and Palmer 1999). This approach is based on the basic isotope exchange reaction between B(OH)</w:t>
      </w:r>
      <w:r w:rsidRPr="0053339A">
        <w:rPr>
          <w:rFonts w:ascii="Times New Roman" w:eastAsia="Times New Roman" w:hAnsi="Times New Roman" w:cs="Times New Roman"/>
          <w:sz w:val="24"/>
          <w:szCs w:val="24"/>
          <w:vertAlign w:val="subscript"/>
        </w:rPr>
        <w:t>3</w:t>
      </w:r>
      <w:r w:rsidRPr="0053339A">
        <w:rPr>
          <w:rFonts w:ascii="Times New Roman" w:eastAsia="Times New Roman" w:hAnsi="Times New Roman" w:cs="Times New Roman"/>
          <w:sz w:val="24"/>
          <w:szCs w:val="24"/>
        </w:rPr>
        <w:t xml:space="preserve"> and B(OH)</w:t>
      </w:r>
      <w:r w:rsidRPr="0053339A">
        <w:rPr>
          <w:rFonts w:ascii="Times New Roman" w:eastAsia="Times New Roman" w:hAnsi="Times New Roman" w:cs="Times New Roman"/>
          <w:sz w:val="24"/>
          <w:szCs w:val="24"/>
          <w:vertAlign w:val="subscript"/>
        </w:rPr>
        <w:t>4</w:t>
      </w:r>
      <w:r w:rsidRPr="0053339A">
        <w:rPr>
          <w:rFonts w:ascii="Times New Roman" w:eastAsia="Times New Roman" w:hAnsi="Times New Roman" w:cs="Times New Roman"/>
          <w:sz w:val="24"/>
          <w:szCs w:val="24"/>
          <w:vertAlign w:val="superscript"/>
        </w:rPr>
        <w:t>−</w:t>
      </w:r>
      <w:r w:rsidRPr="0053339A">
        <w:rPr>
          <w:rFonts w:ascii="Times New Roman" w:eastAsia="Times New Roman" w:hAnsi="Times New Roman" w:cs="Times New Roman"/>
          <w:sz w:val="24"/>
          <w:szCs w:val="24"/>
        </w:rPr>
        <w:t>:</w:t>
      </w:r>
    </w:p>
    <w:p w:rsidR="0053339A" w:rsidRPr="0053339A" w:rsidRDefault="0053339A" w:rsidP="0053339A">
      <w:pPr>
        <w:spacing w:before="100" w:beforeAutospacing="1" w:after="100" w:afterAutospacing="1" w:line="240" w:lineRule="auto"/>
        <w:rPr>
          <w:rFonts w:ascii="Times New Roman" w:eastAsia="Times New Roman" w:hAnsi="Times New Roman" w:cs="Times New Roman"/>
          <w:sz w:val="24"/>
          <w:szCs w:val="24"/>
        </w:rPr>
      </w:pPr>
      <w:r w:rsidRPr="0053339A">
        <w:rPr>
          <w:rFonts w:ascii="Times New Roman" w:eastAsia="Times New Roman" w:hAnsi="Times New Roman" w:cs="Times New Roman"/>
          <w:sz w:val="24"/>
          <w:szCs w:val="24"/>
        </w:rPr>
        <w:t>and the pH dependence for the distribution of B(OH)</w:t>
      </w:r>
      <w:r w:rsidRPr="0053339A">
        <w:rPr>
          <w:rFonts w:ascii="Times New Roman" w:eastAsia="Times New Roman" w:hAnsi="Times New Roman" w:cs="Times New Roman"/>
          <w:sz w:val="24"/>
          <w:szCs w:val="24"/>
          <w:vertAlign w:val="subscript"/>
        </w:rPr>
        <w:t>3</w:t>
      </w:r>
      <w:r w:rsidRPr="0053339A">
        <w:rPr>
          <w:rFonts w:ascii="Times New Roman" w:eastAsia="Times New Roman" w:hAnsi="Times New Roman" w:cs="Times New Roman"/>
          <w:sz w:val="24"/>
          <w:szCs w:val="24"/>
        </w:rPr>
        <w:t xml:space="preserve"> and B(OH)</w:t>
      </w:r>
      <w:r w:rsidRPr="0053339A">
        <w:rPr>
          <w:rFonts w:ascii="Times New Roman" w:eastAsia="Times New Roman" w:hAnsi="Times New Roman" w:cs="Times New Roman"/>
          <w:sz w:val="24"/>
          <w:szCs w:val="24"/>
          <w:vertAlign w:val="subscript"/>
        </w:rPr>
        <w:t>4</w:t>
      </w:r>
      <w:r w:rsidRPr="0053339A">
        <w:rPr>
          <w:rFonts w:ascii="Times New Roman" w:eastAsia="Times New Roman" w:hAnsi="Times New Roman" w:cs="Times New Roman"/>
          <w:sz w:val="24"/>
          <w:szCs w:val="24"/>
          <w:vertAlign w:val="superscript"/>
        </w:rPr>
        <w:t>−</w:t>
      </w:r>
      <w:r w:rsidRPr="0053339A">
        <w:rPr>
          <w:rFonts w:ascii="Times New Roman" w:eastAsia="Times New Roman" w:hAnsi="Times New Roman" w:cs="Times New Roman"/>
          <w:sz w:val="24"/>
          <w:szCs w:val="24"/>
        </w:rPr>
        <w:t xml:space="preserve"> in seawater.</w:t>
      </w:r>
    </w:p>
    <w:p w:rsidR="0053339A" w:rsidRPr="0053339A" w:rsidRDefault="0053339A" w:rsidP="0053339A">
      <w:pPr>
        <w:spacing w:before="100" w:beforeAutospacing="1" w:after="100" w:afterAutospacing="1" w:line="240" w:lineRule="auto"/>
        <w:rPr>
          <w:rFonts w:ascii="Times New Roman" w:eastAsia="Times New Roman" w:hAnsi="Times New Roman" w:cs="Times New Roman"/>
          <w:sz w:val="24"/>
          <w:szCs w:val="24"/>
        </w:rPr>
      </w:pPr>
      <w:r w:rsidRPr="0053339A">
        <w:rPr>
          <w:rFonts w:ascii="Times New Roman" w:eastAsia="Times New Roman" w:hAnsi="Times New Roman" w:cs="Times New Roman"/>
          <w:sz w:val="24"/>
          <w:szCs w:val="24"/>
        </w:rPr>
        <w:t xml:space="preserve">The equilibrium constant </w:t>
      </w:r>
      <w:r w:rsidRPr="0053339A">
        <w:rPr>
          <w:rFonts w:ascii="Times New Roman" w:eastAsia="Times New Roman" w:hAnsi="Times New Roman" w:cs="Times New Roman"/>
          <w:i/>
          <w:iCs/>
          <w:sz w:val="24"/>
          <w:szCs w:val="24"/>
        </w:rPr>
        <w:t>K</w:t>
      </w:r>
      <w:r w:rsidRPr="0053339A">
        <w:rPr>
          <w:rFonts w:ascii="Times New Roman" w:eastAsia="Times New Roman" w:hAnsi="Times New Roman" w:cs="Times New Roman"/>
          <w:sz w:val="24"/>
          <w:szCs w:val="24"/>
        </w:rPr>
        <w:t xml:space="preserve"> value for reaction 1 is important for building the pH vs. δ</w:t>
      </w:r>
      <w:r w:rsidRPr="0053339A">
        <w:rPr>
          <w:rFonts w:ascii="Times New Roman" w:eastAsia="Times New Roman" w:hAnsi="Times New Roman" w:cs="Times New Roman"/>
          <w:sz w:val="24"/>
          <w:szCs w:val="24"/>
          <w:vertAlign w:val="superscript"/>
        </w:rPr>
        <w:t>11</w:t>
      </w:r>
      <w:r w:rsidRPr="0053339A">
        <w:rPr>
          <w:rFonts w:ascii="Times New Roman" w:eastAsia="Times New Roman" w:hAnsi="Times New Roman" w:cs="Times New Roman"/>
          <w:sz w:val="24"/>
          <w:szCs w:val="24"/>
        </w:rPr>
        <w:t xml:space="preserve">B composition relationship curve (like the one in Fig. 1b in Hemming and Hanson, 1992). However, it is very difficult to determine the </w:t>
      </w:r>
      <w:r w:rsidRPr="0053339A">
        <w:rPr>
          <w:rFonts w:ascii="Times New Roman" w:eastAsia="Times New Roman" w:hAnsi="Times New Roman" w:cs="Times New Roman"/>
          <w:i/>
          <w:iCs/>
          <w:sz w:val="24"/>
          <w:szCs w:val="24"/>
        </w:rPr>
        <w:t>K</w:t>
      </w:r>
      <w:r w:rsidRPr="0053339A">
        <w:rPr>
          <w:rFonts w:ascii="Times New Roman" w:eastAsia="Times New Roman" w:hAnsi="Times New Roman" w:cs="Times New Roman"/>
          <w:sz w:val="24"/>
          <w:szCs w:val="24"/>
        </w:rPr>
        <w:t xml:space="preserve"> value accurately from experiments. The generally used value (1.0194, at 25°C) was from </w:t>
      </w:r>
      <w:proofErr w:type="spellStart"/>
      <w:r w:rsidRPr="0053339A">
        <w:rPr>
          <w:rFonts w:ascii="Times New Roman" w:eastAsia="Times New Roman" w:hAnsi="Times New Roman" w:cs="Times New Roman"/>
          <w:sz w:val="24"/>
          <w:szCs w:val="24"/>
        </w:rPr>
        <w:t>Kakihana</w:t>
      </w:r>
      <w:proofErr w:type="spellEnd"/>
      <w:r w:rsidRPr="0053339A">
        <w:rPr>
          <w:rFonts w:ascii="Times New Roman" w:eastAsia="Times New Roman" w:hAnsi="Times New Roman" w:cs="Times New Roman"/>
          <w:sz w:val="24"/>
          <w:szCs w:val="24"/>
        </w:rPr>
        <w:t xml:space="preserve"> et al.’s (1977) semiempirical calculation. Many experimental studies have shown very clear downward offsets of δ</w:t>
      </w:r>
      <w:r w:rsidRPr="0053339A">
        <w:rPr>
          <w:rFonts w:ascii="Times New Roman" w:eastAsia="Times New Roman" w:hAnsi="Times New Roman" w:cs="Times New Roman"/>
          <w:sz w:val="24"/>
          <w:szCs w:val="24"/>
          <w:vertAlign w:val="superscript"/>
        </w:rPr>
        <w:t>11</w:t>
      </w:r>
      <w:r w:rsidRPr="0053339A">
        <w:rPr>
          <w:rFonts w:ascii="Times New Roman" w:eastAsia="Times New Roman" w:hAnsi="Times New Roman" w:cs="Times New Roman"/>
          <w:sz w:val="24"/>
          <w:szCs w:val="24"/>
        </w:rPr>
        <w:t xml:space="preserve">B composition from this theoretical curve (e.g., Palmer et al 1987, </w:t>
      </w:r>
      <w:proofErr w:type="spellStart"/>
      <w:r w:rsidRPr="0053339A">
        <w:rPr>
          <w:rFonts w:ascii="Times New Roman" w:eastAsia="Times New Roman" w:hAnsi="Times New Roman" w:cs="Times New Roman"/>
          <w:sz w:val="24"/>
          <w:szCs w:val="24"/>
        </w:rPr>
        <w:t>Sanyal</w:t>
      </w:r>
      <w:proofErr w:type="spellEnd"/>
      <w:r w:rsidRPr="0053339A">
        <w:rPr>
          <w:rFonts w:ascii="Times New Roman" w:eastAsia="Times New Roman" w:hAnsi="Times New Roman" w:cs="Times New Roman"/>
          <w:sz w:val="24"/>
          <w:szCs w:val="24"/>
        </w:rPr>
        <w:t xml:space="preserve"> et al 1995, </w:t>
      </w:r>
      <w:proofErr w:type="spellStart"/>
      <w:r w:rsidRPr="0053339A">
        <w:rPr>
          <w:rFonts w:ascii="Times New Roman" w:eastAsia="Times New Roman" w:hAnsi="Times New Roman" w:cs="Times New Roman"/>
          <w:sz w:val="24"/>
          <w:szCs w:val="24"/>
        </w:rPr>
        <w:t>Sanyal</w:t>
      </w:r>
      <w:proofErr w:type="spellEnd"/>
      <w:r w:rsidRPr="0053339A">
        <w:rPr>
          <w:rFonts w:ascii="Times New Roman" w:eastAsia="Times New Roman" w:hAnsi="Times New Roman" w:cs="Times New Roman"/>
          <w:sz w:val="24"/>
          <w:szCs w:val="24"/>
        </w:rPr>
        <w:t xml:space="preserve"> et al 1996, </w:t>
      </w:r>
      <w:proofErr w:type="spellStart"/>
      <w:r w:rsidRPr="0053339A">
        <w:rPr>
          <w:rFonts w:ascii="Times New Roman" w:eastAsia="Times New Roman" w:hAnsi="Times New Roman" w:cs="Times New Roman"/>
          <w:sz w:val="24"/>
          <w:szCs w:val="24"/>
        </w:rPr>
        <w:t>Sanyal</w:t>
      </w:r>
      <w:proofErr w:type="spellEnd"/>
      <w:r w:rsidRPr="0053339A">
        <w:rPr>
          <w:rFonts w:ascii="Times New Roman" w:eastAsia="Times New Roman" w:hAnsi="Times New Roman" w:cs="Times New Roman"/>
          <w:sz w:val="24"/>
          <w:szCs w:val="24"/>
        </w:rPr>
        <w:t xml:space="preserve"> et al 2000, </w:t>
      </w:r>
      <w:proofErr w:type="spellStart"/>
      <w:r w:rsidRPr="0053339A">
        <w:rPr>
          <w:rFonts w:ascii="Times New Roman" w:eastAsia="Times New Roman" w:hAnsi="Times New Roman" w:cs="Times New Roman"/>
          <w:sz w:val="24"/>
          <w:szCs w:val="24"/>
        </w:rPr>
        <w:t>Hönisch</w:t>
      </w:r>
      <w:proofErr w:type="spellEnd"/>
      <w:r w:rsidRPr="0053339A">
        <w:rPr>
          <w:rFonts w:ascii="Times New Roman" w:eastAsia="Times New Roman" w:hAnsi="Times New Roman" w:cs="Times New Roman"/>
          <w:sz w:val="24"/>
          <w:szCs w:val="24"/>
        </w:rPr>
        <w:t xml:space="preserve"> et al 2003). The general downward offset trend may simply mean this theoretical </w:t>
      </w:r>
      <w:r w:rsidRPr="0053339A">
        <w:rPr>
          <w:rFonts w:ascii="Times New Roman" w:eastAsia="Times New Roman" w:hAnsi="Times New Roman" w:cs="Times New Roman"/>
          <w:i/>
          <w:iCs/>
          <w:sz w:val="24"/>
          <w:szCs w:val="24"/>
        </w:rPr>
        <w:t>K</w:t>
      </w:r>
      <w:r w:rsidRPr="0053339A">
        <w:rPr>
          <w:rFonts w:ascii="Times New Roman" w:eastAsia="Times New Roman" w:hAnsi="Times New Roman" w:cs="Times New Roman"/>
          <w:sz w:val="24"/>
          <w:szCs w:val="24"/>
        </w:rPr>
        <w:t xml:space="preserve"> value (1.0194) is too small. Palmer et al. (1987) suggested using a much larger value of 1.033 instead of 1.0194. Oi (2000) and </w:t>
      </w:r>
      <w:r w:rsidRPr="0053339A">
        <w:rPr>
          <w:rFonts w:ascii="Times New Roman" w:eastAsia="Times New Roman" w:hAnsi="Times New Roman" w:cs="Times New Roman"/>
          <w:sz w:val="24"/>
          <w:szCs w:val="24"/>
        </w:rPr>
        <w:lastRenderedPageBreak/>
        <w:t>Oi and Yanase (2001) calculated a value of 1.0260 by using ab initio quantum chemistry calculations on gas-phase B(OH)</w:t>
      </w:r>
      <w:r w:rsidRPr="0053339A">
        <w:rPr>
          <w:rFonts w:ascii="Times New Roman" w:eastAsia="Times New Roman" w:hAnsi="Times New Roman" w:cs="Times New Roman"/>
          <w:sz w:val="24"/>
          <w:szCs w:val="24"/>
          <w:vertAlign w:val="subscript"/>
        </w:rPr>
        <w:t>3</w:t>
      </w:r>
      <w:r w:rsidRPr="0053339A">
        <w:rPr>
          <w:rFonts w:ascii="Times New Roman" w:eastAsia="Times New Roman" w:hAnsi="Times New Roman" w:cs="Times New Roman"/>
          <w:sz w:val="24"/>
          <w:szCs w:val="24"/>
        </w:rPr>
        <w:t xml:space="preserve"> and B(OH)</w:t>
      </w:r>
      <w:r w:rsidRPr="0053339A">
        <w:rPr>
          <w:rFonts w:ascii="Times New Roman" w:eastAsia="Times New Roman" w:hAnsi="Times New Roman" w:cs="Times New Roman"/>
          <w:sz w:val="24"/>
          <w:szCs w:val="24"/>
          <w:vertAlign w:val="subscript"/>
        </w:rPr>
        <w:t>4</w:t>
      </w:r>
      <w:r w:rsidRPr="0053339A">
        <w:rPr>
          <w:rFonts w:ascii="Times New Roman" w:eastAsia="Times New Roman" w:hAnsi="Times New Roman" w:cs="Times New Roman"/>
          <w:sz w:val="24"/>
          <w:szCs w:val="24"/>
          <w:vertAlign w:val="superscript"/>
        </w:rPr>
        <w:t>−</w:t>
      </w:r>
      <w:r w:rsidRPr="0053339A">
        <w:rPr>
          <w:rFonts w:ascii="Times New Roman" w:eastAsia="Times New Roman" w:hAnsi="Times New Roman" w:cs="Times New Roman"/>
          <w:sz w:val="24"/>
          <w:szCs w:val="24"/>
        </w:rPr>
        <w:t xml:space="preserve">. Meanwhile, to explain these offsets, some other efforts also have been made on this issue, such as considering vital effects for different foraminifers or corals with different living microenvironments (e.g., </w:t>
      </w:r>
      <w:proofErr w:type="spellStart"/>
      <w:r w:rsidRPr="0053339A">
        <w:rPr>
          <w:rFonts w:ascii="Times New Roman" w:eastAsia="Times New Roman" w:hAnsi="Times New Roman" w:cs="Times New Roman"/>
          <w:sz w:val="24"/>
          <w:szCs w:val="24"/>
        </w:rPr>
        <w:t>Sanyal</w:t>
      </w:r>
      <w:proofErr w:type="spellEnd"/>
      <w:r w:rsidRPr="0053339A">
        <w:rPr>
          <w:rFonts w:ascii="Times New Roman" w:eastAsia="Times New Roman" w:hAnsi="Times New Roman" w:cs="Times New Roman"/>
          <w:sz w:val="24"/>
          <w:szCs w:val="24"/>
        </w:rPr>
        <w:t xml:space="preserve"> et al 2001, </w:t>
      </w:r>
      <w:proofErr w:type="spellStart"/>
      <w:r w:rsidRPr="0053339A">
        <w:rPr>
          <w:rFonts w:ascii="Times New Roman" w:eastAsia="Times New Roman" w:hAnsi="Times New Roman" w:cs="Times New Roman"/>
          <w:sz w:val="24"/>
          <w:szCs w:val="24"/>
        </w:rPr>
        <w:t>Hönisch</w:t>
      </w:r>
      <w:proofErr w:type="spellEnd"/>
      <w:r w:rsidRPr="0053339A">
        <w:rPr>
          <w:rFonts w:ascii="Times New Roman" w:eastAsia="Times New Roman" w:hAnsi="Times New Roman" w:cs="Times New Roman"/>
          <w:sz w:val="24"/>
          <w:szCs w:val="24"/>
        </w:rPr>
        <w:t xml:space="preserve"> et al 2003, </w:t>
      </w:r>
      <w:proofErr w:type="spellStart"/>
      <w:r w:rsidRPr="0053339A">
        <w:rPr>
          <w:rFonts w:ascii="Times New Roman" w:eastAsia="Times New Roman" w:hAnsi="Times New Roman" w:cs="Times New Roman"/>
          <w:sz w:val="24"/>
          <w:szCs w:val="24"/>
        </w:rPr>
        <w:t>Hönisch</w:t>
      </w:r>
      <w:proofErr w:type="spellEnd"/>
      <w:r w:rsidRPr="0053339A">
        <w:rPr>
          <w:rFonts w:ascii="Times New Roman" w:eastAsia="Times New Roman" w:hAnsi="Times New Roman" w:cs="Times New Roman"/>
          <w:sz w:val="24"/>
          <w:szCs w:val="24"/>
        </w:rPr>
        <w:t xml:space="preserve"> et al 2004, </w:t>
      </w:r>
      <w:proofErr w:type="spellStart"/>
      <w:r w:rsidRPr="0053339A">
        <w:rPr>
          <w:rFonts w:ascii="Times New Roman" w:eastAsia="Times New Roman" w:hAnsi="Times New Roman" w:cs="Times New Roman"/>
          <w:sz w:val="24"/>
          <w:szCs w:val="24"/>
        </w:rPr>
        <w:t>Zeebe</w:t>
      </w:r>
      <w:proofErr w:type="spellEnd"/>
      <w:r w:rsidRPr="0053339A">
        <w:rPr>
          <w:rFonts w:ascii="Times New Roman" w:eastAsia="Times New Roman" w:hAnsi="Times New Roman" w:cs="Times New Roman"/>
          <w:sz w:val="24"/>
          <w:szCs w:val="24"/>
        </w:rPr>
        <w:t xml:space="preserve"> et al 2003). Many empirical curves were built for different samples. Before further application of this possible paleo-pH indicator, we strongly feel a careful recalculation of the basic </w:t>
      </w:r>
      <w:r w:rsidRPr="0053339A">
        <w:rPr>
          <w:rFonts w:ascii="Times New Roman" w:eastAsia="Times New Roman" w:hAnsi="Times New Roman" w:cs="Times New Roman"/>
          <w:i/>
          <w:iCs/>
          <w:sz w:val="24"/>
          <w:szCs w:val="24"/>
        </w:rPr>
        <w:t>K</w:t>
      </w:r>
      <w:r w:rsidRPr="0053339A">
        <w:rPr>
          <w:rFonts w:ascii="Times New Roman" w:eastAsia="Times New Roman" w:hAnsi="Times New Roman" w:cs="Times New Roman"/>
          <w:sz w:val="24"/>
          <w:szCs w:val="24"/>
        </w:rPr>
        <w:t xml:space="preserve"> value is necessary.</w:t>
      </w:r>
    </w:p>
    <w:p w:rsidR="0053339A" w:rsidRPr="0053339A" w:rsidRDefault="0053339A" w:rsidP="0053339A">
      <w:pPr>
        <w:spacing w:before="100" w:beforeAutospacing="1" w:after="100" w:afterAutospacing="1" w:line="240" w:lineRule="auto"/>
        <w:outlineLvl w:val="1"/>
        <w:rPr>
          <w:rFonts w:ascii="Times New Roman" w:eastAsia="Times New Roman" w:hAnsi="Times New Roman" w:cs="Times New Roman"/>
          <w:b/>
          <w:bCs/>
          <w:sz w:val="36"/>
          <w:szCs w:val="36"/>
        </w:rPr>
      </w:pPr>
      <w:r w:rsidRPr="0053339A">
        <w:rPr>
          <w:rFonts w:ascii="Times New Roman" w:eastAsia="Times New Roman" w:hAnsi="Times New Roman" w:cs="Times New Roman"/>
          <w:b/>
          <w:bCs/>
          <w:sz w:val="36"/>
          <w:szCs w:val="36"/>
        </w:rPr>
        <w:t>Section snippets</w:t>
      </w:r>
    </w:p>
    <w:p w:rsidR="0053339A" w:rsidRPr="0053339A" w:rsidRDefault="0053339A" w:rsidP="0053339A">
      <w:pPr>
        <w:spacing w:before="100" w:beforeAutospacing="1" w:after="100" w:afterAutospacing="1" w:line="240" w:lineRule="auto"/>
        <w:outlineLvl w:val="1"/>
        <w:rPr>
          <w:rFonts w:ascii="Times New Roman" w:eastAsia="Times New Roman" w:hAnsi="Times New Roman" w:cs="Times New Roman"/>
          <w:b/>
          <w:bCs/>
          <w:sz w:val="36"/>
          <w:szCs w:val="36"/>
        </w:rPr>
      </w:pPr>
      <w:r w:rsidRPr="0053339A">
        <w:rPr>
          <w:rFonts w:ascii="Times New Roman" w:eastAsia="Times New Roman" w:hAnsi="Times New Roman" w:cs="Times New Roman"/>
          <w:b/>
          <w:bCs/>
          <w:sz w:val="36"/>
          <w:szCs w:val="36"/>
        </w:rPr>
        <w:t>Calculation method</w:t>
      </w:r>
    </w:p>
    <w:p w:rsidR="0053339A" w:rsidRPr="0053339A" w:rsidRDefault="0053339A" w:rsidP="0053339A">
      <w:pPr>
        <w:spacing w:before="100" w:beforeAutospacing="1" w:after="100" w:afterAutospacing="1" w:line="240" w:lineRule="auto"/>
        <w:rPr>
          <w:rFonts w:ascii="Times New Roman" w:eastAsia="Times New Roman" w:hAnsi="Times New Roman" w:cs="Times New Roman"/>
          <w:sz w:val="24"/>
          <w:szCs w:val="24"/>
        </w:rPr>
      </w:pPr>
      <w:r w:rsidRPr="0053339A">
        <w:rPr>
          <w:rFonts w:ascii="Times New Roman" w:eastAsia="Times New Roman" w:hAnsi="Times New Roman" w:cs="Times New Roman"/>
          <w:sz w:val="24"/>
          <w:szCs w:val="24"/>
        </w:rPr>
        <w:t xml:space="preserve">We use the method provided by </w:t>
      </w:r>
      <w:proofErr w:type="spellStart"/>
      <w:r w:rsidRPr="0053339A">
        <w:rPr>
          <w:rFonts w:ascii="Times New Roman" w:eastAsia="Times New Roman" w:hAnsi="Times New Roman" w:cs="Times New Roman"/>
          <w:sz w:val="24"/>
          <w:szCs w:val="24"/>
        </w:rPr>
        <w:t>Bigeleisen</w:t>
      </w:r>
      <w:proofErr w:type="spellEnd"/>
      <w:r w:rsidRPr="0053339A">
        <w:rPr>
          <w:rFonts w:ascii="Times New Roman" w:eastAsia="Times New Roman" w:hAnsi="Times New Roman" w:cs="Times New Roman"/>
          <w:sz w:val="24"/>
          <w:szCs w:val="24"/>
        </w:rPr>
        <w:t xml:space="preserve"> and Mayer (1947) to calculate the isotope exchange constant </w:t>
      </w:r>
      <w:r w:rsidRPr="0053339A">
        <w:rPr>
          <w:rFonts w:ascii="Times New Roman" w:eastAsia="Times New Roman" w:hAnsi="Times New Roman" w:cs="Times New Roman"/>
          <w:i/>
          <w:iCs/>
          <w:sz w:val="24"/>
          <w:szCs w:val="24"/>
        </w:rPr>
        <w:t>K</w:t>
      </w:r>
      <w:r w:rsidRPr="0053339A">
        <w:rPr>
          <w:rFonts w:ascii="Times New Roman" w:eastAsia="Times New Roman" w:hAnsi="Times New Roman" w:cs="Times New Roman"/>
          <w:sz w:val="24"/>
          <w:szCs w:val="24"/>
        </w:rPr>
        <w:t xml:space="preserve">. </w:t>
      </w:r>
      <w:proofErr w:type="spellStart"/>
      <w:r w:rsidRPr="0053339A">
        <w:rPr>
          <w:rFonts w:ascii="Times New Roman" w:eastAsia="Times New Roman" w:hAnsi="Times New Roman" w:cs="Times New Roman"/>
          <w:sz w:val="24"/>
          <w:szCs w:val="24"/>
        </w:rPr>
        <w:t>Bigeleisen</w:t>
      </w:r>
      <w:proofErr w:type="spellEnd"/>
      <w:r w:rsidRPr="0053339A">
        <w:rPr>
          <w:rFonts w:ascii="Times New Roman" w:eastAsia="Times New Roman" w:hAnsi="Times New Roman" w:cs="Times New Roman"/>
          <w:sz w:val="24"/>
          <w:szCs w:val="24"/>
        </w:rPr>
        <w:t xml:space="preserve"> and Mayer (1947) treated this problem by deducing a new </w:t>
      </w:r>
      <w:r w:rsidRPr="0053339A">
        <w:rPr>
          <w:rFonts w:ascii="Times New Roman" w:eastAsia="Times New Roman" w:hAnsi="Times New Roman" w:cs="Times New Roman"/>
          <w:i/>
          <w:iCs/>
          <w:sz w:val="24"/>
          <w:szCs w:val="24"/>
        </w:rPr>
        <w:t>K</w:t>
      </w:r>
      <w:r w:rsidRPr="0053339A">
        <w:rPr>
          <w:rFonts w:ascii="Times New Roman" w:eastAsia="Times New Roman" w:hAnsi="Times New Roman" w:cs="Times New Roman"/>
          <w:sz w:val="24"/>
          <w:szCs w:val="24"/>
        </w:rPr>
        <w:t xml:space="preserve"> formula containing just the vibrational energy parts. For a reaction</w:t>
      </w:r>
    </w:p>
    <w:p w:rsidR="0053339A" w:rsidRPr="0053339A" w:rsidRDefault="0053339A" w:rsidP="0053339A">
      <w:pPr>
        <w:spacing w:before="100" w:beforeAutospacing="1" w:after="100" w:afterAutospacing="1" w:line="240" w:lineRule="auto"/>
        <w:rPr>
          <w:rFonts w:ascii="Times New Roman" w:eastAsia="Times New Roman" w:hAnsi="Times New Roman" w:cs="Times New Roman"/>
          <w:sz w:val="24"/>
          <w:szCs w:val="24"/>
        </w:rPr>
      </w:pPr>
      <w:r w:rsidRPr="0053339A">
        <w:rPr>
          <w:rFonts w:ascii="Times New Roman" w:eastAsia="Times New Roman" w:hAnsi="Times New Roman" w:cs="Times New Roman"/>
          <w:sz w:val="24"/>
          <w:szCs w:val="24"/>
        </w:rPr>
        <w:t xml:space="preserve">where </w:t>
      </w:r>
      <w:r w:rsidRPr="0053339A">
        <w:rPr>
          <w:rFonts w:ascii="Times New Roman" w:eastAsia="Times New Roman" w:hAnsi="Times New Roman" w:cs="Times New Roman"/>
          <w:i/>
          <w:iCs/>
          <w:sz w:val="24"/>
          <w:szCs w:val="24"/>
        </w:rPr>
        <w:t>A</w:t>
      </w:r>
      <w:r w:rsidRPr="0053339A">
        <w:rPr>
          <w:rFonts w:ascii="Times New Roman" w:eastAsia="Times New Roman" w:hAnsi="Times New Roman" w:cs="Times New Roman"/>
          <w:sz w:val="24"/>
          <w:szCs w:val="24"/>
        </w:rPr>
        <w:t xml:space="preserve"> and </w:t>
      </w:r>
      <w:r w:rsidRPr="0053339A">
        <w:rPr>
          <w:rFonts w:ascii="Times New Roman" w:eastAsia="Times New Roman" w:hAnsi="Times New Roman" w:cs="Times New Roman"/>
          <w:i/>
          <w:iCs/>
          <w:sz w:val="24"/>
          <w:szCs w:val="24"/>
        </w:rPr>
        <w:t>A</w:t>
      </w:r>
      <w:r w:rsidRPr="0053339A">
        <w:rPr>
          <w:rFonts w:ascii="Times New Roman" w:eastAsia="Times New Roman" w:hAnsi="Times New Roman" w:cs="Times New Roman"/>
          <w:sz w:val="24"/>
          <w:szCs w:val="24"/>
        </w:rPr>
        <w:t xml:space="preserve">* differ only in isotopic composition and </w:t>
      </w:r>
      <w:r w:rsidRPr="0053339A">
        <w:rPr>
          <w:rFonts w:ascii="Times New Roman" w:eastAsia="Times New Roman" w:hAnsi="Times New Roman" w:cs="Times New Roman"/>
          <w:i/>
          <w:iCs/>
          <w:sz w:val="24"/>
          <w:szCs w:val="24"/>
        </w:rPr>
        <w:t>A</w:t>
      </w:r>
      <w:r w:rsidRPr="0053339A">
        <w:rPr>
          <w:rFonts w:ascii="Times New Roman" w:eastAsia="Times New Roman" w:hAnsi="Times New Roman" w:cs="Times New Roman"/>
          <w:sz w:val="24"/>
          <w:szCs w:val="24"/>
        </w:rPr>
        <w:t xml:space="preserve">* is the one with heavier isotope (e.g., the </w:t>
      </w:r>
      <w:r w:rsidRPr="0053339A">
        <w:rPr>
          <w:rFonts w:ascii="Times New Roman" w:eastAsia="Times New Roman" w:hAnsi="Times New Roman" w:cs="Times New Roman"/>
          <w:sz w:val="24"/>
          <w:szCs w:val="24"/>
          <w:vertAlign w:val="superscript"/>
        </w:rPr>
        <w:t>10</w:t>
      </w:r>
      <w:r w:rsidRPr="0053339A">
        <w:rPr>
          <w:rFonts w:ascii="Times New Roman" w:eastAsia="Times New Roman" w:hAnsi="Times New Roman" w:cs="Times New Roman"/>
          <w:sz w:val="24"/>
          <w:szCs w:val="24"/>
        </w:rPr>
        <w:t>B[OH]</w:t>
      </w:r>
      <w:r w:rsidRPr="0053339A">
        <w:rPr>
          <w:rFonts w:ascii="Times New Roman" w:eastAsia="Times New Roman" w:hAnsi="Times New Roman" w:cs="Times New Roman"/>
          <w:sz w:val="24"/>
          <w:szCs w:val="24"/>
          <w:vertAlign w:val="subscript"/>
        </w:rPr>
        <w:t>3</w:t>
      </w:r>
      <w:r w:rsidRPr="0053339A">
        <w:rPr>
          <w:rFonts w:ascii="Times New Roman" w:eastAsia="Times New Roman" w:hAnsi="Times New Roman" w:cs="Times New Roman"/>
          <w:sz w:val="24"/>
          <w:szCs w:val="24"/>
        </w:rPr>
        <w:t xml:space="preserve"> and </w:t>
      </w:r>
      <w:r w:rsidRPr="0053339A">
        <w:rPr>
          <w:rFonts w:ascii="Times New Roman" w:eastAsia="Times New Roman" w:hAnsi="Times New Roman" w:cs="Times New Roman"/>
          <w:sz w:val="24"/>
          <w:szCs w:val="24"/>
          <w:vertAlign w:val="superscript"/>
        </w:rPr>
        <w:t>11</w:t>
      </w:r>
      <w:r w:rsidRPr="0053339A">
        <w:rPr>
          <w:rFonts w:ascii="Times New Roman" w:eastAsia="Times New Roman" w:hAnsi="Times New Roman" w:cs="Times New Roman"/>
          <w:sz w:val="24"/>
          <w:szCs w:val="24"/>
        </w:rPr>
        <w:t>B[OH]</w:t>
      </w:r>
      <w:r w:rsidRPr="0053339A">
        <w:rPr>
          <w:rFonts w:ascii="Times New Roman" w:eastAsia="Times New Roman" w:hAnsi="Times New Roman" w:cs="Times New Roman"/>
          <w:sz w:val="24"/>
          <w:szCs w:val="24"/>
          <w:vertAlign w:val="subscript"/>
        </w:rPr>
        <w:t>3</w:t>
      </w:r>
      <w:r w:rsidRPr="0053339A">
        <w:rPr>
          <w:rFonts w:ascii="Times New Roman" w:eastAsia="Times New Roman" w:hAnsi="Times New Roman" w:cs="Times New Roman"/>
          <w:sz w:val="24"/>
          <w:szCs w:val="24"/>
        </w:rPr>
        <w:t xml:space="preserve"> in reaction 1 just like </w:t>
      </w:r>
      <w:r w:rsidRPr="0053339A">
        <w:rPr>
          <w:rFonts w:ascii="Times New Roman" w:eastAsia="Times New Roman" w:hAnsi="Times New Roman" w:cs="Times New Roman"/>
          <w:i/>
          <w:iCs/>
          <w:sz w:val="24"/>
          <w:szCs w:val="24"/>
        </w:rPr>
        <w:t>A</w:t>
      </w:r>
      <w:r w:rsidRPr="0053339A">
        <w:rPr>
          <w:rFonts w:ascii="Times New Roman" w:eastAsia="Times New Roman" w:hAnsi="Times New Roman" w:cs="Times New Roman"/>
          <w:sz w:val="24"/>
          <w:szCs w:val="24"/>
        </w:rPr>
        <w:t xml:space="preserve"> and </w:t>
      </w:r>
      <w:r w:rsidRPr="0053339A">
        <w:rPr>
          <w:rFonts w:ascii="Times New Roman" w:eastAsia="Times New Roman" w:hAnsi="Times New Roman" w:cs="Times New Roman"/>
          <w:i/>
          <w:iCs/>
          <w:sz w:val="24"/>
          <w:szCs w:val="24"/>
        </w:rPr>
        <w:t>A</w:t>
      </w:r>
      <w:r w:rsidRPr="0053339A">
        <w:rPr>
          <w:rFonts w:ascii="Times New Roman" w:eastAsia="Times New Roman" w:hAnsi="Times New Roman" w:cs="Times New Roman"/>
          <w:sz w:val="24"/>
          <w:szCs w:val="24"/>
        </w:rPr>
        <w:t xml:space="preserve">* here), </w:t>
      </w:r>
      <w:r w:rsidRPr="0053339A">
        <w:rPr>
          <w:rFonts w:ascii="Times New Roman" w:eastAsia="Times New Roman" w:hAnsi="Times New Roman" w:cs="Times New Roman"/>
          <w:i/>
          <w:iCs/>
          <w:sz w:val="24"/>
          <w:szCs w:val="24"/>
        </w:rPr>
        <w:t>K</w:t>
      </w:r>
      <w:r w:rsidRPr="0053339A">
        <w:rPr>
          <w:rFonts w:ascii="Times New Roman" w:eastAsia="Times New Roman" w:hAnsi="Times New Roman" w:cs="Times New Roman"/>
          <w:sz w:val="24"/>
          <w:szCs w:val="24"/>
        </w:rPr>
        <w:t xml:space="preserve"> can be written in terms of the reduced isotopic partition function ratio (RPFR), </w:t>
      </w:r>
    </w:p>
    <w:p w:rsidR="0053339A" w:rsidRPr="0053339A" w:rsidRDefault="0053339A" w:rsidP="0053339A">
      <w:pPr>
        <w:spacing w:before="100" w:beforeAutospacing="1" w:after="100" w:afterAutospacing="1" w:line="240" w:lineRule="auto"/>
        <w:outlineLvl w:val="1"/>
        <w:rPr>
          <w:rFonts w:ascii="Times New Roman" w:eastAsia="Times New Roman" w:hAnsi="Times New Roman" w:cs="Times New Roman"/>
          <w:b/>
          <w:bCs/>
          <w:sz w:val="36"/>
          <w:szCs w:val="36"/>
        </w:rPr>
      </w:pPr>
      <w:r w:rsidRPr="0053339A">
        <w:rPr>
          <w:rFonts w:ascii="Times New Roman" w:eastAsia="Times New Roman" w:hAnsi="Times New Roman" w:cs="Times New Roman"/>
          <w:b/>
          <w:bCs/>
          <w:sz w:val="36"/>
          <w:szCs w:val="36"/>
        </w:rPr>
        <w:t>Gas-Phase Fractionation Between B(OH)</w:t>
      </w:r>
      <w:r w:rsidRPr="0053339A">
        <w:rPr>
          <w:rFonts w:ascii="Times New Roman" w:eastAsia="Times New Roman" w:hAnsi="Times New Roman" w:cs="Times New Roman"/>
          <w:b/>
          <w:bCs/>
          <w:sz w:val="36"/>
          <w:szCs w:val="36"/>
          <w:vertAlign w:val="subscript"/>
        </w:rPr>
        <w:t>3</w:t>
      </w:r>
      <w:r w:rsidRPr="0053339A">
        <w:rPr>
          <w:rFonts w:ascii="Times New Roman" w:eastAsia="Times New Roman" w:hAnsi="Times New Roman" w:cs="Times New Roman"/>
          <w:b/>
          <w:bCs/>
          <w:sz w:val="36"/>
          <w:szCs w:val="36"/>
        </w:rPr>
        <w:t xml:space="preserve"> and B(OH)</w:t>
      </w:r>
      <w:r w:rsidRPr="0053339A">
        <w:rPr>
          <w:rFonts w:ascii="Times New Roman" w:eastAsia="Times New Roman" w:hAnsi="Times New Roman" w:cs="Times New Roman"/>
          <w:b/>
          <w:bCs/>
          <w:sz w:val="36"/>
          <w:szCs w:val="36"/>
          <w:vertAlign w:val="subscript"/>
        </w:rPr>
        <w:t>4</w:t>
      </w:r>
      <w:r w:rsidRPr="0053339A">
        <w:rPr>
          <w:rFonts w:ascii="Times New Roman" w:eastAsia="Times New Roman" w:hAnsi="Times New Roman" w:cs="Times New Roman"/>
          <w:b/>
          <w:bCs/>
          <w:sz w:val="36"/>
          <w:szCs w:val="36"/>
          <w:vertAlign w:val="superscript"/>
        </w:rPr>
        <w:t>−</w:t>
      </w:r>
    </w:p>
    <w:p w:rsidR="0053339A" w:rsidRPr="0053339A" w:rsidRDefault="0053339A" w:rsidP="0053339A">
      <w:pPr>
        <w:spacing w:before="100" w:beforeAutospacing="1" w:after="100" w:afterAutospacing="1" w:line="240" w:lineRule="auto"/>
        <w:rPr>
          <w:rFonts w:ascii="Times New Roman" w:eastAsia="Times New Roman" w:hAnsi="Times New Roman" w:cs="Times New Roman"/>
          <w:sz w:val="24"/>
          <w:szCs w:val="24"/>
        </w:rPr>
      </w:pPr>
      <w:r w:rsidRPr="0053339A">
        <w:rPr>
          <w:rFonts w:ascii="Times New Roman" w:eastAsia="Times New Roman" w:hAnsi="Times New Roman" w:cs="Times New Roman"/>
          <w:sz w:val="24"/>
          <w:szCs w:val="24"/>
        </w:rPr>
        <w:t>Figure 1 shows the gas-phase B(OH)</w:t>
      </w:r>
      <w:r w:rsidRPr="0053339A">
        <w:rPr>
          <w:rFonts w:ascii="Times New Roman" w:eastAsia="Times New Roman" w:hAnsi="Times New Roman" w:cs="Times New Roman"/>
          <w:sz w:val="24"/>
          <w:szCs w:val="24"/>
          <w:vertAlign w:val="subscript"/>
        </w:rPr>
        <w:t>3</w:t>
      </w:r>
      <w:r w:rsidRPr="0053339A">
        <w:rPr>
          <w:rFonts w:ascii="Times New Roman" w:eastAsia="Times New Roman" w:hAnsi="Times New Roman" w:cs="Times New Roman"/>
          <w:sz w:val="24"/>
          <w:szCs w:val="24"/>
        </w:rPr>
        <w:t xml:space="preserve"> and B(OH)</w:t>
      </w:r>
      <w:r w:rsidRPr="0053339A">
        <w:rPr>
          <w:rFonts w:ascii="Times New Roman" w:eastAsia="Times New Roman" w:hAnsi="Times New Roman" w:cs="Times New Roman"/>
          <w:sz w:val="24"/>
          <w:szCs w:val="24"/>
          <w:vertAlign w:val="subscript"/>
        </w:rPr>
        <w:t>4</w:t>
      </w:r>
      <w:r w:rsidRPr="0053339A">
        <w:rPr>
          <w:rFonts w:ascii="Times New Roman" w:eastAsia="Times New Roman" w:hAnsi="Times New Roman" w:cs="Times New Roman"/>
          <w:sz w:val="24"/>
          <w:szCs w:val="24"/>
          <w:vertAlign w:val="superscript"/>
        </w:rPr>
        <w:t>−</w:t>
      </w:r>
      <w:r w:rsidRPr="0053339A">
        <w:rPr>
          <w:rFonts w:ascii="Times New Roman" w:eastAsia="Times New Roman" w:hAnsi="Times New Roman" w:cs="Times New Roman"/>
          <w:sz w:val="24"/>
          <w:szCs w:val="24"/>
        </w:rPr>
        <w:t xml:space="preserve"> molecules and Table 1 shows the calculated values of </w:t>
      </w:r>
      <w:r w:rsidRPr="0053339A">
        <w:rPr>
          <w:rFonts w:ascii="Times New Roman" w:eastAsia="Times New Roman" w:hAnsi="Times New Roman" w:cs="Times New Roman"/>
          <w:i/>
          <w:iCs/>
          <w:sz w:val="24"/>
          <w:szCs w:val="24"/>
        </w:rPr>
        <w:t>K</w:t>
      </w:r>
      <w:r w:rsidRPr="0053339A">
        <w:rPr>
          <w:rFonts w:ascii="Times New Roman" w:eastAsia="Times New Roman" w:hAnsi="Times New Roman" w:cs="Times New Roman"/>
          <w:sz w:val="24"/>
          <w:szCs w:val="24"/>
        </w:rPr>
        <w:t xml:space="preserve"> at different temperatures. From the RPFR calculation formula shown above, only the normal-mode frequency </w:t>
      </w:r>
      <w:r w:rsidRPr="0053339A">
        <w:rPr>
          <w:rFonts w:ascii="Times New Roman" w:eastAsia="Times New Roman" w:hAnsi="Times New Roman" w:cs="Times New Roman"/>
          <w:i/>
          <w:iCs/>
          <w:sz w:val="24"/>
          <w:szCs w:val="24"/>
        </w:rPr>
        <w:t>positions</w:t>
      </w:r>
      <w:r w:rsidRPr="0053339A">
        <w:rPr>
          <w:rFonts w:ascii="Times New Roman" w:eastAsia="Times New Roman" w:hAnsi="Times New Roman" w:cs="Times New Roman"/>
          <w:sz w:val="24"/>
          <w:szCs w:val="24"/>
        </w:rPr>
        <w:t xml:space="preserve"> are needed, not their intensities. Table 1 shows the calculated </w:t>
      </w:r>
      <w:r w:rsidRPr="0053339A">
        <w:rPr>
          <w:rFonts w:ascii="Times New Roman" w:eastAsia="Times New Roman" w:hAnsi="Times New Roman" w:cs="Times New Roman"/>
          <w:i/>
          <w:iCs/>
          <w:sz w:val="24"/>
          <w:szCs w:val="24"/>
        </w:rPr>
        <w:t>K</w:t>
      </w:r>
      <w:r w:rsidRPr="0053339A">
        <w:rPr>
          <w:rFonts w:ascii="Times New Roman" w:eastAsia="Times New Roman" w:hAnsi="Times New Roman" w:cs="Times New Roman"/>
          <w:sz w:val="24"/>
          <w:szCs w:val="24"/>
        </w:rPr>
        <w:t xml:space="preserve"> values systematically approach unity with increasing temperature.</w:t>
      </w:r>
    </w:p>
    <w:p w:rsidR="0053339A" w:rsidRPr="0053339A" w:rsidRDefault="0053339A" w:rsidP="0053339A">
      <w:pPr>
        <w:spacing w:before="100" w:beforeAutospacing="1" w:after="100" w:afterAutospacing="1" w:line="240" w:lineRule="auto"/>
        <w:outlineLvl w:val="1"/>
        <w:rPr>
          <w:rFonts w:ascii="Times New Roman" w:eastAsia="Times New Roman" w:hAnsi="Times New Roman" w:cs="Times New Roman"/>
          <w:b/>
          <w:bCs/>
          <w:sz w:val="36"/>
          <w:szCs w:val="36"/>
        </w:rPr>
      </w:pPr>
      <w:r w:rsidRPr="0053339A">
        <w:rPr>
          <w:rFonts w:ascii="Times New Roman" w:eastAsia="Times New Roman" w:hAnsi="Times New Roman" w:cs="Times New Roman"/>
          <w:b/>
          <w:bCs/>
          <w:sz w:val="36"/>
          <w:szCs w:val="36"/>
        </w:rPr>
        <w:t>Calculation Methods for Liquid-Phase Fractionation Between B(OH)</w:t>
      </w:r>
      <w:r w:rsidRPr="0053339A">
        <w:rPr>
          <w:rFonts w:ascii="Times New Roman" w:eastAsia="Times New Roman" w:hAnsi="Times New Roman" w:cs="Times New Roman"/>
          <w:b/>
          <w:bCs/>
          <w:sz w:val="36"/>
          <w:szCs w:val="36"/>
          <w:vertAlign w:val="subscript"/>
        </w:rPr>
        <w:t>3</w:t>
      </w:r>
      <w:r w:rsidRPr="0053339A">
        <w:rPr>
          <w:rFonts w:ascii="Times New Roman" w:eastAsia="Times New Roman" w:hAnsi="Times New Roman" w:cs="Times New Roman"/>
          <w:b/>
          <w:bCs/>
          <w:sz w:val="36"/>
          <w:szCs w:val="36"/>
        </w:rPr>
        <w:t xml:space="preserve"> and B(OH)</w:t>
      </w:r>
      <w:r w:rsidRPr="0053339A">
        <w:rPr>
          <w:rFonts w:ascii="Times New Roman" w:eastAsia="Times New Roman" w:hAnsi="Times New Roman" w:cs="Times New Roman"/>
          <w:b/>
          <w:bCs/>
          <w:sz w:val="36"/>
          <w:szCs w:val="36"/>
          <w:vertAlign w:val="subscript"/>
        </w:rPr>
        <w:t>4</w:t>
      </w:r>
      <w:r w:rsidRPr="0053339A">
        <w:rPr>
          <w:rFonts w:ascii="Times New Roman" w:eastAsia="Times New Roman" w:hAnsi="Times New Roman" w:cs="Times New Roman"/>
          <w:b/>
          <w:bCs/>
          <w:sz w:val="36"/>
          <w:szCs w:val="36"/>
          <w:vertAlign w:val="superscript"/>
        </w:rPr>
        <w:t>−</w:t>
      </w:r>
    </w:p>
    <w:p w:rsidR="0053339A" w:rsidRPr="0053339A" w:rsidRDefault="0053339A" w:rsidP="0053339A">
      <w:pPr>
        <w:spacing w:before="100" w:beforeAutospacing="1" w:after="100" w:afterAutospacing="1" w:line="240" w:lineRule="auto"/>
        <w:rPr>
          <w:rFonts w:ascii="Times New Roman" w:eastAsia="Times New Roman" w:hAnsi="Times New Roman" w:cs="Times New Roman"/>
          <w:sz w:val="24"/>
          <w:szCs w:val="24"/>
        </w:rPr>
      </w:pPr>
      <w:r w:rsidRPr="0053339A">
        <w:rPr>
          <w:rFonts w:ascii="Times New Roman" w:eastAsia="Times New Roman" w:hAnsi="Times New Roman" w:cs="Times New Roman"/>
          <w:sz w:val="24"/>
          <w:szCs w:val="24"/>
        </w:rPr>
        <w:t>Oi (2000) used a simple scaling approach to calculate the frequencies for B(OH)</w:t>
      </w:r>
      <w:r w:rsidRPr="0053339A">
        <w:rPr>
          <w:rFonts w:ascii="Times New Roman" w:eastAsia="Times New Roman" w:hAnsi="Times New Roman" w:cs="Times New Roman"/>
          <w:sz w:val="24"/>
          <w:szCs w:val="24"/>
          <w:vertAlign w:val="subscript"/>
        </w:rPr>
        <w:t>3</w:t>
      </w:r>
      <w:r w:rsidRPr="0053339A">
        <w:rPr>
          <w:rFonts w:ascii="Times New Roman" w:eastAsia="Times New Roman" w:hAnsi="Times New Roman" w:cs="Times New Roman"/>
          <w:sz w:val="24"/>
          <w:szCs w:val="24"/>
        </w:rPr>
        <w:t xml:space="preserve"> and B(OH)</w:t>
      </w:r>
      <w:r w:rsidRPr="0053339A">
        <w:rPr>
          <w:rFonts w:ascii="Times New Roman" w:eastAsia="Times New Roman" w:hAnsi="Times New Roman" w:cs="Times New Roman"/>
          <w:sz w:val="24"/>
          <w:szCs w:val="24"/>
          <w:vertAlign w:val="subscript"/>
        </w:rPr>
        <w:t>4</w:t>
      </w:r>
      <w:r w:rsidRPr="0053339A">
        <w:rPr>
          <w:rFonts w:ascii="Times New Roman" w:eastAsia="Times New Roman" w:hAnsi="Times New Roman" w:cs="Times New Roman"/>
          <w:sz w:val="24"/>
          <w:szCs w:val="24"/>
          <w:vertAlign w:val="superscript"/>
        </w:rPr>
        <w:t>−</w:t>
      </w:r>
      <w:r w:rsidRPr="0053339A">
        <w:rPr>
          <w:rFonts w:ascii="Times New Roman" w:eastAsia="Times New Roman" w:hAnsi="Times New Roman" w:cs="Times New Roman"/>
          <w:sz w:val="24"/>
          <w:szCs w:val="24"/>
        </w:rPr>
        <w:t xml:space="preserve"> in pure water by fitting his calculated gas-phase</w:t>
      </w:r>
    </w:p>
    <w:p w:rsidR="0053339A" w:rsidRPr="0053339A" w:rsidRDefault="0053339A" w:rsidP="0053339A">
      <w:pPr>
        <w:spacing w:before="100" w:beforeAutospacing="1" w:after="100" w:afterAutospacing="1" w:line="240" w:lineRule="auto"/>
        <w:outlineLvl w:val="1"/>
        <w:rPr>
          <w:rFonts w:ascii="Times New Roman" w:eastAsia="Times New Roman" w:hAnsi="Times New Roman" w:cs="Times New Roman"/>
          <w:b/>
          <w:bCs/>
          <w:sz w:val="36"/>
          <w:szCs w:val="36"/>
        </w:rPr>
      </w:pPr>
      <w:r w:rsidRPr="0053339A">
        <w:rPr>
          <w:rFonts w:ascii="Times New Roman" w:eastAsia="Times New Roman" w:hAnsi="Times New Roman" w:cs="Times New Roman"/>
          <w:b/>
          <w:bCs/>
          <w:sz w:val="36"/>
          <w:szCs w:val="36"/>
        </w:rPr>
        <w:t>Discussion</w:t>
      </w:r>
    </w:p>
    <w:p w:rsidR="0053339A" w:rsidRPr="0053339A" w:rsidRDefault="0053339A" w:rsidP="0053339A">
      <w:pPr>
        <w:spacing w:before="100" w:beforeAutospacing="1" w:after="100" w:afterAutospacing="1" w:line="240" w:lineRule="auto"/>
        <w:rPr>
          <w:rFonts w:ascii="Times New Roman" w:eastAsia="Times New Roman" w:hAnsi="Times New Roman" w:cs="Times New Roman"/>
          <w:sz w:val="24"/>
          <w:szCs w:val="24"/>
        </w:rPr>
      </w:pPr>
      <w:r w:rsidRPr="0053339A">
        <w:rPr>
          <w:rFonts w:ascii="Times New Roman" w:eastAsia="Times New Roman" w:hAnsi="Times New Roman" w:cs="Times New Roman"/>
          <w:sz w:val="24"/>
          <w:szCs w:val="24"/>
        </w:rPr>
        <w:t>According to Hemming and Hanson (1992), using the following three conditions, a relation between the pH value vs. δ</w:t>
      </w:r>
      <w:r w:rsidRPr="0053339A">
        <w:rPr>
          <w:rFonts w:ascii="Times New Roman" w:eastAsia="Times New Roman" w:hAnsi="Times New Roman" w:cs="Times New Roman"/>
          <w:sz w:val="24"/>
          <w:szCs w:val="24"/>
          <w:vertAlign w:val="superscript"/>
        </w:rPr>
        <w:t>11</w:t>
      </w:r>
      <w:r w:rsidRPr="0053339A">
        <w:rPr>
          <w:rFonts w:ascii="Times New Roman" w:eastAsia="Times New Roman" w:hAnsi="Times New Roman" w:cs="Times New Roman"/>
          <w:sz w:val="24"/>
          <w:szCs w:val="24"/>
        </w:rPr>
        <w:t>B composition of B(OH)</w:t>
      </w:r>
      <w:r w:rsidRPr="0053339A">
        <w:rPr>
          <w:rFonts w:ascii="Times New Roman" w:eastAsia="Times New Roman" w:hAnsi="Times New Roman" w:cs="Times New Roman"/>
          <w:sz w:val="24"/>
          <w:szCs w:val="24"/>
          <w:vertAlign w:val="subscript"/>
        </w:rPr>
        <w:t>4</w:t>
      </w:r>
      <w:r w:rsidRPr="0053339A">
        <w:rPr>
          <w:rFonts w:ascii="Times New Roman" w:eastAsia="Times New Roman" w:hAnsi="Times New Roman" w:cs="Times New Roman"/>
          <w:sz w:val="24"/>
          <w:szCs w:val="24"/>
          <w:vertAlign w:val="superscript"/>
        </w:rPr>
        <w:t>−</w:t>
      </w:r>
      <w:r w:rsidRPr="0053339A">
        <w:rPr>
          <w:rFonts w:ascii="Times New Roman" w:eastAsia="Times New Roman" w:hAnsi="Times New Roman" w:cs="Times New Roman"/>
          <w:sz w:val="24"/>
          <w:szCs w:val="24"/>
        </w:rPr>
        <w:t xml:space="preserve"> can be deduced and a curve can be drawn like the one in Figure 1b in their paper:</w:t>
      </w:r>
    </w:p>
    <w:p w:rsidR="0053339A" w:rsidRPr="0053339A" w:rsidRDefault="0053339A" w:rsidP="0053339A">
      <w:pPr>
        <w:spacing w:after="0" w:line="240" w:lineRule="auto"/>
        <w:rPr>
          <w:rFonts w:ascii="Times New Roman" w:eastAsia="Times New Roman" w:hAnsi="Times New Roman" w:cs="Times New Roman"/>
          <w:sz w:val="24"/>
          <w:szCs w:val="24"/>
        </w:rPr>
      </w:pPr>
      <w:r w:rsidRPr="0053339A">
        <w:rPr>
          <w:rFonts w:ascii="Times New Roman" w:eastAsia="Times New Roman" w:hAnsi="Times New Roman" w:cs="Times New Roman"/>
          <w:sz w:val="24"/>
          <w:szCs w:val="24"/>
        </w:rPr>
        <w:t>(from Hershey et al., 1986).</w:t>
      </w:r>
    </w:p>
    <w:p w:rsidR="0053339A" w:rsidRPr="0053339A" w:rsidRDefault="0053339A" w:rsidP="0053339A">
      <w:pPr>
        <w:spacing w:before="100" w:beforeAutospacing="1" w:after="100" w:afterAutospacing="1" w:line="240" w:lineRule="auto"/>
        <w:rPr>
          <w:rFonts w:ascii="Times New Roman" w:eastAsia="Times New Roman" w:hAnsi="Times New Roman" w:cs="Times New Roman"/>
          <w:sz w:val="24"/>
          <w:szCs w:val="24"/>
        </w:rPr>
      </w:pPr>
      <w:r w:rsidRPr="0053339A">
        <w:rPr>
          <w:rFonts w:ascii="Times New Roman" w:eastAsia="Times New Roman" w:hAnsi="Times New Roman" w:cs="Times New Roman"/>
          <w:sz w:val="24"/>
          <w:szCs w:val="24"/>
        </w:rPr>
        <w:t xml:space="preserve">(from </w:t>
      </w:r>
      <w:proofErr w:type="spellStart"/>
      <w:r w:rsidRPr="0053339A">
        <w:rPr>
          <w:rFonts w:ascii="Times New Roman" w:eastAsia="Times New Roman" w:hAnsi="Times New Roman" w:cs="Times New Roman"/>
          <w:sz w:val="24"/>
          <w:szCs w:val="24"/>
        </w:rPr>
        <w:t>Kakihana</w:t>
      </w:r>
      <w:proofErr w:type="spellEnd"/>
      <w:r w:rsidRPr="0053339A">
        <w:rPr>
          <w:rFonts w:ascii="Times New Roman" w:eastAsia="Times New Roman" w:hAnsi="Times New Roman" w:cs="Times New Roman"/>
          <w:sz w:val="24"/>
          <w:szCs w:val="24"/>
        </w:rPr>
        <w:t xml:space="preserve"> et al., 1977).</w:t>
      </w:r>
    </w:p>
    <w:p w:rsidR="0053339A" w:rsidRPr="0053339A" w:rsidRDefault="0053339A" w:rsidP="0053339A">
      <w:pPr>
        <w:spacing w:before="100" w:beforeAutospacing="1" w:after="100" w:afterAutospacing="1" w:line="240" w:lineRule="auto"/>
        <w:rPr>
          <w:rFonts w:ascii="Times New Roman" w:eastAsia="Times New Roman" w:hAnsi="Times New Roman" w:cs="Times New Roman"/>
          <w:sz w:val="24"/>
          <w:szCs w:val="24"/>
        </w:rPr>
      </w:pPr>
      <w:r w:rsidRPr="0053339A">
        <w:rPr>
          <w:rFonts w:ascii="Times New Roman" w:eastAsia="Times New Roman" w:hAnsi="Times New Roman" w:cs="Times New Roman"/>
          <w:sz w:val="24"/>
          <w:szCs w:val="24"/>
        </w:rPr>
        <w:t>(3) The δ</w:t>
      </w:r>
      <w:r w:rsidRPr="0053339A">
        <w:rPr>
          <w:rFonts w:ascii="Times New Roman" w:eastAsia="Times New Roman" w:hAnsi="Times New Roman" w:cs="Times New Roman"/>
          <w:sz w:val="24"/>
          <w:szCs w:val="24"/>
          <w:vertAlign w:val="superscript"/>
        </w:rPr>
        <w:t>11</w:t>
      </w:r>
      <w:r w:rsidRPr="0053339A">
        <w:rPr>
          <w:rFonts w:ascii="Times New Roman" w:eastAsia="Times New Roman" w:hAnsi="Times New Roman" w:cs="Times New Roman"/>
          <w:sz w:val="24"/>
          <w:szCs w:val="24"/>
        </w:rPr>
        <w:t>B for seawater is 39.5 per thousand (SRM 951</w:t>
      </w:r>
    </w:p>
    <w:p w:rsidR="0053339A" w:rsidRPr="0053339A" w:rsidRDefault="0053339A" w:rsidP="0053339A">
      <w:pPr>
        <w:spacing w:before="100" w:beforeAutospacing="1" w:after="100" w:afterAutospacing="1" w:line="240" w:lineRule="auto"/>
        <w:outlineLvl w:val="1"/>
        <w:rPr>
          <w:rFonts w:ascii="Times New Roman" w:eastAsia="Times New Roman" w:hAnsi="Times New Roman" w:cs="Times New Roman"/>
          <w:b/>
          <w:bCs/>
          <w:sz w:val="36"/>
          <w:szCs w:val="36"/>
        </w:rPr>
      </w:pPr>
      <w:r w:rsidRPr="0053339A">
        <w:rPr>
          <w:rFonts w:ascii="Times New Roman" w:eastAsia="Times New Roman" w:hAnsi="Times New Roman" w:cs="Times New Roman"/>
          <w:b/>
          <w:bCs/>
          <w:sz w:val="36"/>
          <w:szCs w:val="36"/>
        </w:rPr>
        <w:lastRenderedPageBreak/>
        <w:t>Acknowledgments</w:t>
      </w:r>
    </w:p>
    <w:p w:rsidR="0053339A" w:rsidRPr="0053339A" w:rsidRDefault="0053339A" w:rsidP="0053339A">
      <w:pPr>
        <w:spacing w:before="100" w:beforeAutospacing="1" w:after="100" w:afterAutospacing="1" w:line="240" w:lineRule="auto"/>
        <w:rPr>
          <w:rFonts w:ascii="Times New Roman" w:eastAsia="Times New Roman" w:hAnsi="Times New Roman" w:cs="Times New Roman"/>
          <w:sz w:val="24"/>
          <w:szCs w:val="24"/>
        </w:rPr>
      </w:pPr>
      <w:r w:rsidRPr="0053339A">
        <w:rPr>
          <w:rFonts w:ascii="Times New Roman" w:eastAsia="Times New Roman" w:hAnsi="Times New Roman" w:cs="Times New Roman"/>
          <w:sz w:val="24"/>
          <w:szCs w:val="24"/>
        </w:rPr>
        <w:t xml:space="preserve">This work was supported by NSF Grant EAR-0001031 and DOE Grant DE-FG02-94ER14467. Some of the calculations were performed on the Carnegie Alpha Cluster, which is supported in part by NSF MRI Grant AST-9976645. We want to thank James R. </w:t>
      </w:r>
      <w:proofErr w:type="spellStart"/>
      <w:r w:rsidRPr="0053339A">
        <w:rPr>
          <w:rFonts w:ascii="Times New Roman" w:eastAsia="Times New Roman" w:hAnsi="Times New Roman" w:cs="Times New Roman"/>
          <w:sz w:val="24"/>
          <w:szCs w:val="24"/>
        </w:rPr>
        <w:t>Rustad</w:t>
      </w:r>
      <w:proofErr w:type="spellEnd"/>
      <w:r w:rsidRPr="0053339A">
        <w:rPr>
          <w:rFonts w:ascii="Times New Roman" w:eastAsia="Times New Roman" w:hAnsi="Times New Roman" w:cs="Times New Roman"/>
          <w:sz w:val="24"/>
          <w:szCs w:val="24"/>
        </w:rPr>
        <w:t xml:space="preserve"> (AE), N. G. Hemming and one anonymous reviewer for very useful suggestions and comments. Yun Liu wants to thank Tao Fang at Stony Brook for helpful discussion and Dr. B. </w:t>
      </w:r>
      <w:proofErr w:type="spellStart"/>
      <w:r w:rsidRPr="0053339A">
        <w:rPr>
          <w:rFonts w:ascii="Times New Roman" w:eastAsia="Times New Roman" w:hAnsi="Times New Roman" w:cs="Times New Roman"/>
          <w:sz w:val="24"/>
          <w:szCs w:val="24"/>
        </w:rPr>
        <w:t>Hönisch</w:t>
      </w:r>
      <w:proofErr w:type="spellEnd"/>
      <w:r w:rsidRPr="0053339A">
        <w:rPr>
          <w:rFonts w:ascii="Times New Roman" w:eastAsia="Times New Roman" w:hAnsi="Times New Roman" w:cs="Times New Roman"/>
          <w:sz w:val="24"/>
          <w:szCs w:val="24"/>
        </w:rPr>
        <w:t xml:space="preserve"> for sending us their unpublished manuscript.</w:t>
      </w:r>
    </w:p>
    <w:p w:rsidR="00AD77BF" w:rsidRDefault="00AD77BF"/>
    <w:sectPr w:rsidR="00AD77BF">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339A"/>
    <w:rsid w:val="0053339A"/>
    <w:rsid w:val="00AD77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A09B07"/>
  <w15:chartTrackingRefBased/>
  <w15:docId w15:val="{F63DE35C-2375-4024-B10A-BF03E1416F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41965939">
      <w:bodyDiv w:val="1"/>
      <w:marLeft w:val="0"/>
      <w:marRight w:val="0"/>
      <w:marTop w:val="0"/>
      <w:marBottom w:val="0"/>
      <w:divBdr>
        <w:top w:val="none" w:sz="0" w:space="0" w:color="auto"/>
        <w:left w:val="none" w:sz="0" w:space="0" w:color="auto"/>
        <w:bottom w:val="none" w:sz="0" w:space="0" w:color="auto"/>
        <w:right w:val="none" w:sz="0" w:space="0" w:color="auto"/>
      </w:divBdr>
      <w:divsChild>
        <w:div w:id="179391835">
          <w:marLeft w:val="0"/>
          <w:marRight w:val="0"/>
          <w:marTop w:val="0"/>
          <w:marBottom w:val="0"/>
          <w:divBdr>
            <w:top w:val="none" w:sz="0" w:space="0" w:color="auto"/>
            <w:left w:val="none" w:sz="0" w:space="0" w:color="auto"/>
            <w:bottom w:val="none" w:sz="0" w:space="0" w:color="auto"/>
            <w:right w:val="none" w:sz="0" w:space="0" w:color="auto"/>
          </w:divBdr>
          <w:divsChild>
            <w:div w:id="2041319449">
              <w:marLeft w:val="0"/>
              <w:marRight w:val="0"/>
              <w:marTop w:val="0"/>
              <w:marBottom w:val="0"/>
              <w:divBdr>
                <w:top w:val="none" w:sz="0" w:space="0" w:color="auto"/>
                <w:left w:val="none" w:sz="0" w:space="0" w:color="auto"/>
                <w:bottom w:val="none" w:sz="0" w:space="0" w:color="auto"/>
                <w:right w:val="none" w:sz="0" w:space="0" w:color="auto"/>
              </w:divBdr>
              <w:divsChild>
                <w:div w:id="1195655339">
                  <w:marLeft w:val="0"/>
                  <w:marRight w:val="0"/>
                  <w:marTop w:val="0"/>
                  <w:marBottom w:val="0"/>
                  <w:divBdr>
                    <w:top w:val="none" w:sz="0" w:space="0" w:color="auto"/>
                    <w:left w:val="none" w:sz="0" w:space="0" w:color="auto"/>
                    <w:bottom w:val="none" w:sz="0" w:space="0" w:color="auto"/>
                    <w:right w:val="none" w:sz="0" w:space="0" w:color="auto"/>
                  </w:divBdr>
                  <w:divsChild>
                    <w:div w:id="341006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641440">
          <w:marLeft w:val="0"/>
          <w:marRight w:val="0"/>
          <w:marTop w:val="0"/>
          <w:marBottom w:val="0"/>
          <w:divBdr>
            <w:top w:val="none" w:sz="0" w:space="0" w:color="auto"/>
            <w:left w:val="none" w:sz="0" w:space="0" w:color="auto"/>
            <w:bottom w:val="none" w:sz="0" w:space="0" w:color="auto"/>
            <w:right w:val="none" w:sz="0" w:space="0" w:color="auto"/>
          </w:divBdr>
          <w:divsChild>
            <w:div w:id="504590948">
              <w:marLeft w:val="0"/>
              <w:marRight w:val="0"/>
              <w:marTop w:val="0"/>
              <w:marBottom w:val="0"/>
              <w:divBdr>
                <w:top w:val="none" w:sz="0" w:space="0" w:color="auto"/>
                <w:left w:val="none" w:sz="0" w:space="0" w:color="auto"/>
                <w:bottom w:val="none" w:sz="0" w:space="0" w:color="auto"/>
                <w:right w:val="none" w:sz="0" w:space="0" w:color="auto"/>
              </w:divBdr>
              <w:divsChild>
                <w:div w:id="712190069">
                  <w:marLeft w:val="0"/>
                  <w:marRight w:val="0"/>
                  <w:marTop w:val="0"/>
                  <w:marBottom w:val="0"/>
                  <w:divBdr>
                    <w:top w:val="none" w:sz="0" w:space="0" w:color="auto"/>
                    <w:left w:val="none" w:sz="0" w:space="0" w:color="auto"/>
                    <w:bottom w:val="none" w:sz="0" w:space="0" w:color="auto"/>
                    <w:right w:val="none" w:sz="0" w:space="0" w:color="auto"/>
                  </w:divBdr>
                  <w:divsChild>
                    <w:div w:id="730924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982066">
          <w:marLeft w:val="0"/>
          <w:marRight w:val="0"/>
          <w:marTop w:val="0"/>
          <w:marBottom w:val="0"/>
          <w:divBdr>
            <w:top w:val="none" w:sz="0" w:space="0" w:color="auto"/>
            <w:left w:val="none" w:sz="0" w:space="0" w:color="auto"/>
            <w:bottom w:val="none" w:sz="0" w:space="0" w:color="auto"/>
            <w:right w:val="none" w:sz="0" w:space="0" w:color="auto"/>
          </w:divBdr>
          <w:divsChild>
            <w:div w:id="610013316">
              <w:marLeft w:val="0"/>
              <w:marRight w:val="0"/>
              <w:marTop w:val="0"/>
              <w:marBottom w:val="0"/>
              <w:divBdr>
                <w:top w:val="none" w:sz="0" w:space="0" w:color="auto"/>
                <w:left w:val="none" w:sz="0" w:space="0" w:color="auto"/>
                <w:bottom w:val="none" w:sz="0" w:space="0" w:color="auto"/>
                <w:right w:val="none" w:sz="0" w:space="0" w:color="auto"/>
              </w:divBdr>
            </w:div>
          </w:divsChild>
        </w:div>
        <w:div w:id="1702783268">
          <w:marLeft w:val="0"/>
          <w:marRight w:val="0"/>
          <w:marTop w:val="0"/>
          <w:marBottom w:val="0"/>
          <w:divBdr>
            <w:top w:val="none" w:sz="0" w:space="0" w:color="auto"/>
            <w:left w:val="none" w:sz="0" w:space="0" w:color="auto"/>
            <w:bottom w:val="none" w:sz="0" w:space="0" w:color="auto"/>
            <w:right w:val="none" w:sz="0" w:space="0" w:color="auto"/>
          </w:divBdr>
          <w:divsChild>
            <w:div w:id="1454445592">
              <w:marLeft w:val="0"/>
              <w:marRight w:val="0"/>
              <w:marTop w:val="0"/>
              <w:marBottom w:val="0"/>
              <w:divBdr>
                <w:top w:val="none" w:sz="0" w:space="0" w:color="auto"/>
                <w:left w:val="none" w:sz="0" w:space="0" w:color="auto"/>
                <w:bottom w:val="none" w:sz="0" w:space="0" w:color="auto"/>
                <w:right w:val="none" w:sz="0" w:space="0" w:color="auto"/>
              </w:divBdr>
            </w:div>
          </w:divsChild>
        </w:div>
        <w:div w:id="1732344872">
          <w:marLeft w:val="0"/>
          <w:marRight w:val="0"/>
          <w:marTop w:val="0"/>
          <w:marBottom w:val="0"/>
          <w:divBdr>
            <w:top w:val="none" w:sz="0" w:space="0" w:color="auto"/>
            <w:left w:val="none" w:sz="0" w:space="0" w:color="auto"/>
            <w:bottom w:val="none" w:sz="0" w:space="0" w:color="auto"/>
            <w:right w:val="none" w:sz="0" w:space="0" w:color="auto"/>
          </w:divBdr>
          <w:divsChild>
            <w:div w:id="623731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sciencedirect.com/topics/earth-and-planetary-sciences/boric-acid" TargetMode="External"/><Relationship Id="rId4" Type="http://schemas.openxmlformats.org/officeDocument/2006/relationships/hyperlink" Target="https://doi.org/10.1016/j.gca.2005.04.00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846</Words>
  <Characters>4823</Characters>
  <Application>Microsoft Office Word</Application>
  <DocSecurity>0</DocSecurity>
  <Lines>40</Lines>
  <Paragraphs>11</Paragraphs>
  <ScaleCrop>false</ScaleCrop>
  <Company/>
  <LinksUpToDate>false</LinksUpToDate>
  <CharactersWithSpaces>5658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2023-11-18T03:53:00Z</dcterms:created>
  <dcterms:modified xsi:type="dcterms:W3CDTF">2023-11-18T03:53:00Z</dcterms:modified>
</cp:coreProperties>
</file>