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5B0CD4" w:rsidRPr="005B0CD4" w:rsidRDefault="005B0CD4" w:rsidP="005B0CD4">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5B0CD4">
        <w:rPr>
          <w:rFonts w:ascii="Times New Roman" w:eastAsia="Times New Roman" w:hAnsi="Times New Roman" w:cs="Times New Roman"/>
          <w:b/>
          <w:bCs/>
          <w:kern w:val="36"/>
          <w:sz w:val="48"/>
          <w:szCs w:val="48"/>
        </w:rPr>
        <w:t>Formation processes of compound chondrules in CV3 carbonaceous chondrites: Constraints from oxygen isotope ratios and major element concentrations</w:t>
      </w:r>
    </w:p>
    <w:p w:rsidR="005B0CD4" w:rsidRPr="005B0CD4" w:rsidRDefault="005B0CD4" w:rsidP="005B0CD4">
      <w:pPr>
        <w:spacing w:after="0"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Author links open overlay panel</w:t>
      </w:r>
    </w:p>
    <w:p w:rsidR="005B0CD4" w:rsidRPr="005B0CD4" w:rsidRDefault="005B0CD4" w:rsidP="005B0CD4">
      <w:pPr>
        <w:spacing w:after="0"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 xml:space="preserve">, </w:t>
      </w:r>
    </w:p>
    <w:p w:rsidR="005B0CD4" w:rsidRPr="005B0CD4" w:rsidRDefault="005B0CD4" w:rsidP="005B0CD4">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5B0CD4">
          <w:rPr>
            <w:rFonts w:ascii="Times New Roman" w:eastAsia="Times New Roman" w:hAnsi="Times New Roman" w:cs="Times New Roman"/>
            <w:color w:val="0000FF"/>
            <w:sz w:val="24"/>
            <w:szCs w:val="24"/>
            <w:u w:val="single"/>
          </w:rPr>
          <w:t>https://doi.org/10.1016/j.gca.2004.12.025</w:t>
        </w:r>
      </w:hyperlink>
      <w:bookmarkStart w:id="0" w:name="_GoBack"/>
      <w:bookmarkEnd w:id="0"/>
      <w:r w:rsidRPr="005B0CD4">
        <w:rPr>
          <w:rFonts w:ascii="Times New Roman" w:eastAsia="Times New Roman" w:hAnsi="Times New Roman" w:cs="Times New Roman"/>
          <w:sz w:val="24"/>
          <w:szCs w:val="24"/>
        </w:rPr>
        <w:t xml:space="preserve"> </w:t>
      </w:r>
    </w:p>
    <w:p w:rsidR="005B0CD4" w:rsidRPr="005B0CD4" w:rsidRDefault="005B0CD4" w:rsidP="005B0CD4">
      <w:pPr>
        <w:spacing w:before="100" w:beforeAutospacing="1" w:after="100" w:afterAutospacing="1" w:line="240" w:lineRule="auto"/>
        <w:outlineLvl w:val="1"/>
        <w:rPr>
          <w:rFonts w:ascii="Times New Roman" w:eastAsia="Times New Roman" w:hAnsi="Times New Roman" w:cs="Times New Roman"/>
          <w:b/>
          <w:bCs/>
          <w:sz w:val="36"/>
          <w:szCs w:val="36"/>
        </w:rPr>
      </w:pPr>
      <w:r w:rsidRPr="005B0CD4">
        <w:rPr>
          <w:rFonts w:ascii="Times New Roman" w:eastAsia="Times New Roman" w:hAnsi="Times New Roman" w:cs="Times New Roman"/>
          <w:b/>
          <w:bCs/>
          <w:sz w:val="36"/>
          <w:szCs w:val="36"/>
        </w:rPr>
        <w:t>Abstract</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 xml:space="preserve">We found thirty compound </w:t>
      </w:r>
      <w:hyperlink r:id="rId5" w:tooltip="Learn more about chondrules from ScienceDirect's AI-generated Topic Pages" w:history="1">
        <w:r w:rsidRPr="005B0CD4">
          <w:rPr>
            <w:rFonts w:ascii="Times New Roman" w:eastAsia="Times New Roman" w:hAnsi="Times New Roman" w:cs="Times New Roman"/>
            <w:color w:val="0000FF"/>
            <w:sz w:val="24"/>
            <w:szCs w:val="24"/>
            <w:u w:val="single"/>
          </w:rPr>
          <w:t>chondrules</w:t>
        </w:r>
      </w:hyperlink>
      <w:r w:rsidRPr="005B0CD4">
        <w:rPr>
          <w:rFonts w:ascii="Times New Roman" w:eastAsia="Times New Roman" w:hAnsi="Times New Roman" w:cs="Times New Roman"/>
          <w:sz w:val="24"/>
          <w:szCs w:val="24"/>
        </w:rPr>
        <w:t xml:space="preserve"> in two CV3 carbonaceous </w:t>
      </w:r>
      <w:hyperlink r:id="rId6" w:tooltip="Learn more about chondrites from ScienceDirect's AI-generated Topic Pages" w:history="1">
        <w:r w:rsidRPr="005B0CD4">
          <w:rPr>
            <w:rFonts w:ascii="Times New Roman" w:eastAsia="Times New Roman" w:hAnsi="Times New Roman" w:cs="Times New Roman"/>
            <w:color w:val="0000FF"/>
            <w:sz w:val="24"/>
            <w:szCs w:val="24"/>
            <w:u w:val="single"/>
          </w:rPr>
          <w:t>chondrites</w:t>
        </w:r>
      </w:hyperlink>
      <w:r w:rsidRPr="005B0CD4">
        <w:rPr>
          <w:rFonts w:ascii="Times New Roman" w:eastAsia="Times New Roman" w:hAnsi="Times New Roman" w:cs="Times New Roman"/>
          <w:sz w:val="24"/>
          <w:szCs w:val="24"/>
        </w:rPr>
        <w:t xml:space="preserve">. The abundance in each meteorite relative to single chondrules is 29/1846 (1.6%) in Allende and 1/230 (0.4%) in Axtell. We examined petrologic features, major element concentrations and oxygen </w:t>
      </w:r>
      <w:hyperlink r:id="rId7" w:tooltip="Learn more about isotopic compositions from ScienceDirect's AI-generated Topic Pages" w:history="1">
        <w:r w:rsidRPr="005B0CD4">
          <w:rPr>
            <w:rFonts w:ascii="Times New Roman" w:eastAsia="Times New Roman" w:hAnsi="Times New Roman" w:cs="Times New Roman"/>
            <w:color w:val="0000FF"/>
            <w:sz w:val="24"/>
            <w:szCs w:val="24"/>
            <w:u w:val="single"/>
          </w:rPr>
          <w:t>isotopic compositions</w:t>
        </w:r>
      </w:hyperlink>
      <w:r w:rsidRPr="005B0CD4">
        <w:rPr>
          <w:rFonts w:ascii="Times New Roman" w:eastAsia="Times New Roman" w:hAnsi="Times New Roman" w:cs="Times New Roman"/>
          <w:sz w:val="24"/>
          <w:szCs w:val="24"/>
        </w:rPr>
        <w:t>. Textural, compositional and isotopic evidence suggests that multiple, different mechanisms are responsible for the formation of compound chondrules.</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 xml:space="preserve">Seven compound chondrules are composed of two conjoined porphyritic chondrules with a blurred boundary. At the boundary region of this type of compounds, a poikilitic texture is commonly observed. This suggests that the two chondrules were melted when they came to be in contact. On the other hand, seventeen compound chondrules consist of two conjoined chondrules with a discrete boundary. The preservation of spherical boundary planes of an earlier-formed chondrule of this type implies that it already solidified before fusing with a later-formed chondrule that was still melted. Six samples out of 17 compound chondrules of this type are composed of two BO chondrules. The BO-BO compound chondrules have a unique textural feature in common: the directions of the barred </w:t>
      </w:r>
      <w:proofErr w:type="spellStart"/>
      <w:r w:rsidRPr="005B0CD4">
        <w:rPr>
          <w:rFonts w:ascii="Times New Roman" w:eastAsia="Times New Roman" w:hAnsi="Times New Roman" w:cs="Times New Roman"/>
          <w:sz w:val="24"/>
          <w:szCs w:val="24"/>
        </w:rPr>
        <w:t>olivines</w:t>
      </w:r>
      <w:proofErr w:type="spellEnd"/>
      <w:r w:rsidRPr="005B0CD4">
        <w:rPr>
          <w:rFonts w:ascii="Times New Roman" w:eastAsia="Times New Roman" w:hAnsi="Times New Roman" w:cs="Times New Roman"/>
          <w:sz w:val="24"/>
          <w:szCs w:val="24"/>
        </w:rPr>
        <w:t xml:space="preserve"> are mostly parallel between two chondrules. This cannot be explained by a simple collision process and forces another mechanism to be taken into consideration.</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 xml:space="preserve">The remaining six compound chondrules differ from the others; they consist of an earlier-formed chondrule enclosed by a later-formed chondrule. A large </w:t>
      </w:r>
      <w:proofErr w:type="spellStart"/>
      <w:r w:rsidRPr="005B0CD4">
        <w:rPr>
          <w:rFonts w:ascii="Times New Roman" w:eastAsia="Times New Roman" w:hAnsi="Times New Roman" w:cs="Times New Roman"/>
          <w:sz w:val="24"/>
          <w:szCs w:val="24"/>
        </w:rPr>
        <w:t>FeO</w:t>
      </w:r>
      <w:proofErr w:type="spellEnd"/>
      <w:r w:rsidRPr="005B0CD4">
        <w:rPr>
          <w:rFonts w:ascii="Times New Roman" w:eastAsia="Times New Roman" w:hAnsi="Times New Roman" w:cs="Times New Roman"/>
          <w:sz w:val="24"/>
          <w:szCs w:val="24"/>
        </w:rPr>
        <w:t xml:space="preserve"> enrichment was observed in the later-formed chondrules and the enrichment was much greater than that in the later-formed chondrules of other types of compounds. This is consistent with the relict chondrule model, which envisages that the later-formed chondrule was made by a flash melting of a porous </w:t>
      </w:r>
      <w:proofErr w:type="spellStart"/>
      <w:r w:rsidRPr="005B0CD4">
        <w:rPr>
          <w:rFonts w:ascii="Times New Roman" w:eastAsia="Times New Roman" w:hAnsi="Times New Roman" w:cs="Times New Roman"/>
          <w:sz w:val="24"/>
          <w:szCs w:val="24"/>
        </w:rPr>
        <w:t>FeO</w:t>
      </w:r>
      <w:proofErr w:type="spellEnd"/>
      <w:r w:rsidRPr="005B0CD4">
        <w:rPr>
          <w:rFonts w:ascii="Times New Roman" w:eastAsia="Times New Roman" w:hAnsi="Times New Roman" w:cs="Times New Roman"/>
          <w:sz w:val="24"/>
          <w:szCs w:val="24"/>
        </w:rPr>
        <w:t xml:space="preserve">-rich dust clump on an earlier-formed chondrule. The textural evidence of this type of compound shows that the earlier-formed chondrule has melted again to varying degrees at the second heating event. This implies that </w:t>
      </w:r>
      <w:proofErr w:type="spellStart"/>
      <w:r w:rsidRPr="005B0CD4">
        <w:rPr>
          <w:rFonts w:ascii="Times New Roman" w:eastAsia="Times New Roman" w:hAnsi="Times New Roman" w:cs="Times New Roman"/>
          <w:sz w:val="24"/>
          <w:szCs w:val="24"/>
        </w:rPr>
        <w:t>FeO</w:t>
      </w:r>
      <w:proofErr w:type="spellEnd"/>
      <w:r w:rsidRPr="005B0CD4">
        <w:rPr>
          <w:rFonts w:ascii="Times New Roman" w:eastAsia="Times New Roman" w:hAnsi="Times New Roman" w:cs="Times New Roman"/>
          <w:sz w:val="24"/>
          <w:szCs w:val="24"/>
        </w:rPr>
        <w:t xml:space="preserve"> concentrations in bulk chondrules increases during the second heating event if an earlier-formed chondrule was totally melted together with the </w:t>
      </w:r>
      <w:proofErr w:type="spellStart"/>
      <w:r w:rsidRPr="005B0CD4">
        <w:rPr>
          <w:rFonts w:ascii="Times New Roman" w:eastAsia="Times New Roman" w:hAnsi="Times New Roman" w:cs="Times New Roman"/>
          <w:sz w:val="24"/>
          <w:szCs w:val="24"/>
        </w:rPr>
        <w:t>FeO</w:t>
      </w:r>
      <w:proofErr w:type="spellEnd"/>
      <w:r w:rsidRPr="005B0CD4">
        <w:rPr>
          <w:rFonts w:ascii="Times New Roman" w:eastAsia="Times New Roman" w:hAnsi="Times New Roman" w:cs="Times New Roman"/>
          <w:sz w:val="24"/>
          <w:szCs w:val="24"/>
        </w:rPr>
        <w:t>-rich dust aggregates.</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 xml:space="preserve">Silicate minerals such as olivine and low-Ca </w:t>
      </w:r>
      <w:hyperlink r:id="rId8" w:tooltip="Learn more about pyroxene from ScienceDirect's AI-generated Topic Pages" w:history="1">
        <w:r w:rsidRPr="005B0CD4">
          <w:rPr>
            <w:rFonts w:ascii="Times New Roman" w:eastAsia="Times New Roman" w:hAnsi="Times New Roman" w:cs="Times New Roman"/>
            <w:color w:val="0000FF"/>
            <w:sz w:val="24"/>
            <w:szCs w:val="24"/>
            <w:u w:val="single"/>
          </w:rPr>
          <w:t>pyroxene</w:t>
        </w:r>
      </w:hyperlink>
      <w:r w:rsidRPr="005B0CD4">
        <w:rPr>
          <w:rFonts w:ascii="Times New Roman" w:eastAsia="Times New Roman" w:hAnsi="Times New Roman" w:cs="Times New Roman"/>
          <w:sz w:val="24"/>
          <w:szCs w:val="24"/>
        </w:rPr>
        <w:t xml:space="preserve"> in compound chondrules have oxygen isotope compositions similar to those in single chondrules from CV3 chondrites. The oxygen isotope composition of each part of the compound chondrule is basically similar to their chondrule pair, but silicates in some chondrules show varying degrees of </w:t>
      </w:r>
      <w:r w:rsidRPr="005B0CD4">
        <w:rPr>
          <w:rFonts w:ascii="Times New Roman" w:eastAsia="Times New Roman" w:hAnsi="Times New Roman" w:cs="Times New Roman"/>
          <w:sz w:val="24"/>
          <w:szCs w:val="24"/>
          <w:vertAlign w:val="superscript"/>
        </w:rPr>
        <w:t>16</w:t>
      </w:r>
      <w:r w:rsidRPr="005B0CD4">
        <w:rPr>
          <w:rFonts w:ascii="Times New Roman" w:eastAsia="Times New Roman" w:hAnsi="Times New Roman" w:cs="Times New Roman"/>
          <w:sz w:val="24"/>
          <w:szCs w:val="24"/>
        </w:rPr>
        <w:t>O-enrichment down to −15‰ in δ</w:t>
      </w:r>
      <w:r w:rsidRPr="005B0CD4">
        <w:rPr>
          <w:rFonts w:ascii="Times New Roman" w:eastAsia="Times New Roman" w:hAnsi="Times New Roman" w:cs="Times New Roman"/>
          <w:sz w:val="24"/>
          <w:szCs w:val="24"/>
          <w:vertAlign w:val="superscript"/>
        </w:rPr>
        <w:t>18</w:t>
      </w:r>
      <w:r w:rsidRPr="005B0CD4">
        <w:rPr>
          <w:rFonts w:ascii="Times New Roman" w:eastAsia="Times New Roman" w:hAnsi="Times New Roman" w:cs="Times New Roman"/>
          <w:sz w:val="24"/>
          <w:szCs w:val="24"/>
        </w:rPr>
        <w:t xml:space="preserve">O, while those in their partners have </w:t>
      </w:r>
      <w:r w:rsidRPr="005B0CD4">
        <w:rPr>
          <w:rFonts w:ascii="Times New Roman" w:eastAsia="Times New Roman" w:hAnsi="Times New Roman" w:cs="Times New Roman"/>
          <w:sz w:val="24"/>
          <w:szCs w:val="24"/>
          <w:vertAlign w:val="superscript"/>
        </w:rPr>
        <w:t>16</w:t>
      </w:r>
      <w:r w:rsidRPr="005B0CD4">
        <w:rPr>
          <w:rFonts w:ascii="Times New Roman" w:eastAsia="Times New Roman" w:hAnsi="Times New Roman" w:cs="Times New Roman"/>
          <w:sz w:val="24"/>
          <w:szCs w:val="24"/>
        </w:rPr>
        <w:t>O-poor invariable compositions near 0 ‰ in δ</w:t>
      </w:r>
      <w:r w:rsidRPr="005B0CD4">
        <w:rPr>
          <w:rFonts w:ascii="Times New Roman" w:eastAsia="Times New Roman" w:hAnsi="Times New Roman" w:cs="Times New Roman"/>
          <w:sz w:val="24"/>
          <w:szCs w:val="24"/>
          <w:vertAlign w:val="superscript"/>
        </w:rPr>
        <w:t>18</w:t>
      </w:r>
      <w:r w:rsidRPr="005B0CD4">
        <w:rPr>
          <w:rFonts w:ascii="Times New Roman" w:eastAsia="Times New Roman" w:hAnsi="Times New Roman" w:cs="Times New Roman"/>
          <w:sz w:val="24"/>
          <w:szCs w:val="24"/>
        </w:rPr>
        <w:t xml:space="preserve">O. This implies that the two chondrules in individual compounds formed in the same environments before they became </w:t>
      </w:r>
      <w:r w:rsidRPr="005B0CD4">
        <w:rPr>
          <w:rFonts w:ascii="Times New Roman" w:eastAsia="Times New Roman" w:hAnsi="Times New Roman" w:cs="Times New Roman"/>
          <w:sz w:val="24"/>
          <w:szCs w:val="24"/>
        </w:rPr>
        <w:lastRenderedPageBreak/>
        <w:t xml:space="preserve">conjoined and the heterogeneous oxygen isotope compositions in some chondrules resulted from incomplete exchange of oxygen atoms between </w:t>
      </w:r>
      <w:r w:rsidRPr="005B0CD4">
        <w:rPr>
          <w:rFonts w:ascii="Times New Roman" w:eastAsia="Times New Roman" w:hAnsi="Times New Roman" w:cs="Times New Roman"/>
          <w:sz w:val="24"/>
          <w:szCs w:val="24"/>
          <w:vertAlign w:val="superscript"/>
        </w:rPr>
        <w:t>16</w:t>
      </w:r>
      <w:r w:rsidRPr="005B0CD4">
        <w:rPr>
          <w:rFonts w:ascii="Times New Roman" w:eastAsia="Times New Roman" w:hAnsi="Times New Roman" w:cs="Times New Roman"/>
          <w:sz w:val="24"/>
          <w:szCs w:val="24"/>
        </w:rPr>
        <w:t xml:space="preserve">O-rich chondrule melts and </w:t>
      </w:r>
      <w:r w:rsidRPr="005B0CD4">
        <w:rPr>
          <w:rFonts w:ascii="Times New Roman" w:eastAsia="Times New Roman" w:hAnsi="Times New Roman" w:cs="Times New Roman"/>
          <w:sz w:val="24"/>
          <w:szCs w:val="24"/>
          <w:vertAlign w:val="superscript"/>
        </w:rPr>
        <w:t>16</w:t>
      </w:r>
      <w:r w:rsidRPr="005B0CD4">
        <w:rPr>
          <w:rFonts w:ascii="Times New Roman" w:eastAsia="Times New Roman" w:hAnsi="Times New Roman" w:cs="Times New Roman"/>
          <w:sz w:val="24"/>
          <w:szCs w:val="24"/>
        </w:rPr>
        <w:t>O-poor nebular gas.</w:t>
      </w:r>
    </w:p>
    <w:p w:rsidR="005B0CD4" w:rsidRPr="005B0CD4" w:rsidRDefault="005B0CD4" w:rsidP="005B0CD4">
      <w:pPr>
        <w:spacing w:before="100" w:beforeAutospacing="1" w:after="100" w:afterAutospacing="1" w:line="240" w:lineRule="auto"/>
        <w:outlineLvl w:val="1"/>
        <w:rPr>
          <w:rFonts w:ascii="Times New Roman" w:eastAsia="Times New Roman" w:hAnsi="Times New Roman" w:cs="Times New Roman"/>
          <w:b/>
          <w:bCs/>
          <w:sz w:val="36"/>
          <w:szCs w:val="36"/>
        </w:rPr>
      </w:pPr>
      <w:r w:rsidRPr="005B0CD4">
        <w:rPr>
          <w:rFonts w:ascii="Times New Roman" w:eastAsia="Times New Roman" w:hAnsi="Times New Roman" w:cs="Times New Roman"/>
          <w:b/>
          <w:bCs/>
          <w:sz w:val="36"/>
          <w:szCs w:val="36"/>
        </w:rPr>
        <w:t>Introduction</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 xml:space="preserve">Compound chondrules are rare, but occur in many classes of chondrites. Typical chondrules are single spherical objects, while compound chondrules are composed of two or more chondrules fused together. The textural, compositional and isotopic properties of compound chondrules therefore offer crucial information regarding the physical and chemical state of solid materials during chondrule formation. Some previous studies have reported the petrology, mineral chemistry, and statistics of the compound chondrules in ordinary chondrites. Lux et al. (1981) performed electron-probe analyses to determine the bulk chemical compositions of 16 sets of </w:t>
      </w:r>
      <w:proofErr w:type="gramStart"/>
      <w:r w:rsidRPr="005B0CD4">
        <w:rPr>
          <w:rFonts w:ascii="Times New Roman" w:eastAsia="Times New Roman" w:hAnsi="Times New Roman" w:cs="Times New Roman"/>
          <w:sz w:val="24"/>
          <w:szCs w:val="24"/>
        </w:rPr>
        <w:t>compound</w:t>
      </w:r>
      <w:proofErr w:type="gramEnd"/>
      <w:r w:rsidRPr="005B0CD4">
        <w:rPr>
          <w:rFonts w:ascii="Times New Roman" w:eastAsia="Times New Roman" w:hAnsi="Times New Roman" w:cs="Times New Roman"/>
          <w:sz w:val="24"/>
          <w:szCs w:val="24"/>
        </w:rPr>
        <w:t xml:space="preserve"> chondrules in H3 chondrites; they found that most compound chondrules are comprised of chondrules having similar bulk major-element compositions and textures. Gooding and Keil (1981) found that compound chondrules account for </w:t>
      </w:r>
      <w:r w:rsidRPr="005B0CD4">
        <w:rPr>
          <w:rFonts w:ascii="Cambria Math" w:eastAsia="Times New Roman" w:hAnsi="Cambria Math" w:cs="Cambria Math"/>
          <w:sz w:val="24"/>
          <w:szCs w:val="24"/>
        </w:rPr>
        <w:t>∼</w:t>
      </w:r>
      <w:r w:rsidRPr="005B0CD4">
        <w:rPr>
          <w:rFonts w:ascii="Times New Roman" w:eastAsia="Times New Roman" w:hAnsi="Times New Roman" w:cs="Times New Roman"/>
          <w:sz w:val="24"/>
          <w:szCs w:val="24"/>
        </w:rPr>
        <w:t xml:space="preserve">2% of an investigated set of chondrules from ordinary chondrites. Wasson et al. (1995) made an extensive investigation of H, L, and LL chondrites and proposed a classification scheme of compound chondrules based on textures. It was also reported that mafic minerals such as olivine and low-Ca pyroxene in earlier-formed chondrules in a certain type of compound chondrules tend to have slightly lower </w:t>
      </w:r>
      <w:proofErr w:type="spellStart"/>
      <w:r w:rsidRPr="005B0CD4">
        <w:rPr>
          <w:rFonts w:ascii="Times New Roman" w:eastAsia="Times New Roman" w:hAnsi="Times New Roman" w:cs="Times New Roman"/>
          <w:sz w:val="24"/>
          <w:szCs w:val="24"/>
        </w:rPr>
        <w:t>FeO</w:t>
      </w:r>
      <w:proofErr w:type="spellEnd"/>
      <w:r w:rsidRPr="005B0CD4">
        <w:rPr>
          <w:rFonts w:ascii="Times New Roman" w:eastAsia="Times New Roman" w:hAnsi="Times New Roman" w:cs="Times New Roman"/>
          <w:sz w:val="24"/>
          <w:szCs w:val="24"/>
        </w:rPr>
        <w:t xml:space="preserve"> contents than those in later-formed ones.</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Compound chondrules are presumed to have formed via collisions between totally or partially molten particles in the early solar nebula (Gooding and Keil 1981, Lux et al 1981). However, this random collision model requires either much longer molten period that would lead to evaporation of large amounts of volatile elements such as Na and S or an implausibly high mean density of chondrules in the nebula (Wasson et al 1995, Sekiya and Nakamura 1996). Therefore, a recent model (Wasson et al., 1995) suggested that some compound chondrules having two or more chondrules with different textures were formed by flash melting of a porous dust aggregate on a chondrule that was not itself melted.</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 xml:space="preserve">There has been no extensive study of compound chondrules in carbonaceous chondrites except for studies of two compound chondrules in Allende (Russell et al 2000, Maruyama and </w:t>
      </w:r>
      <w:proofErr w:type="spellStart"/>
      <w:r w:rsidRPr="005B0CD4">
        <w:rPr>
          <w:rFonts w:ascii="Times New Roman" w:eastAsia="Times New Roman" w:hAnsi="Times New Roman" w:cs="Times New Roman"/>
          <w:sz w:val="24"/>
          <w:szCs w:val="24"/>
        </w:rPr>
        <w:t>Yurimoto</w:t>
      </w:r>
      <w:proofErr w:type="spellEnd"/>
      <w:r w:rsidRPr="005B0CD4">
        <w:rPr>
          <w:rFonts w:ascii="Times New Roman" w:eastAsia="Times New Roman" w:hAnsi="Times New Roman" w:cs="Times New Roman"/>
          <w:sz w:val="24"/>
          <w:szCs w:val="24"/>
        </w:rPr>
        <w:t xml:space="preserve"> 2003, Maruyama and </w:t>
      </w:r>
      <w:proofErr w:type="spellStart"/>
      <w:r w:rsidRPr="005B0CD4">
        <w:rPr>
          <w:rFonts w:ascii="Times New Roman" w:eastAsia="Times New Roman" w:hAnsi="Times New Roman" w:cs="Times New Roman"/>
          <w:sz w:val="24"/>
          <w:szCs w:val="24"/>
        </w:rPr>
        <w:t>Yurimoto</w:t>
      </w:r>
      <w:proofErr w:type="spellEnd"/>
      <w:r w:rsidRPr="005B0CD4">
        <w:rPr>
          <w:rFonts w:ascii="Times New Roman" w:eastAsia="Times New Roman" w:hAnsi="Times New Roman" w:cs="Times New Roman"/>
          <w:sz w:val="24"/>
          <w:szCs w:val="24"/>
        </w:rPr>
        <w:t xml:space="preserve"> 2003). In this paper, we report the results of petrologic, compositional, and oxygen isotopic investigations on 30 sets of </w:t>
      </w:r>
      <w:proofErr w:type="gramStart"/>
      <w:r w:rsidRPr="005B0CD4">
        <w:rPr>
          <w:rFonts w:ascii="Times New Roman" w:eastAsia="Times New Roman" w:hAnsi="Times New Roman" w:cs="Times New Roman"/>
          <w:sz w:val="24"/>
          <w:szCs w:val="24"/>
        </w:rPr>
        <w:t>compound</w:t>
      </w:r>
      <w:proofErr w:type="gramEnd"/>
      <w:r w:rsidRPr="005B0CD4">
        <w:rPr>
          <w:rFonts w:ascii="Times New Roman" w:eastAsia="Times New Roman" w:hAnsi="Times New Roman" w:cs="Times New Roman"/>
          <w:sz w:val="24"/>
          <w:szCs w:val="24"/>
        </w:rPr>
        <w:t xml:space="preserve"> chondrules from two CV3 carbonaceous chondrites Allende and Axtell and show the diversity in many respects between chondrules in a single compound chondrule and also between compound chondrules.</w:t>
      </w:r>
    </w:p>
    <w:p w:rsidR="005B0CD4" w:rsidRPr="005B0CD4" w:rsidRDefault="005B0CD4" w:rsidP="005B0CD4">
      <w:pPr>
        <w:spacing w:before="100" w:beforeAutospacing="1" w:after="100" w:afterAutospacing="1" w:line="240" w:lineRule="auto"/>
        <w:outlineLvl w:val="1"/>
        <w:rPr>
          <w:rFonts w:ascii="Times New Roman" w:eastAsia="Times New Roman" w:hAnsi="Times New Roman" w:cs="Times New Roman"/>
          <w:b/>
          <w:bCs/>
          <w:sz w:val="36"/>
          <w:szCs w:val="36"/>
        </w:rPr>
      </w:pPr>
      <w:r w:rsidRPr="005B0CD4">
        <w:rPr>
          <w:rFonts w:ascii="Times New Roman" w:eastAsia="Times New Roman" w:hAnsi="Times New Roman" w:cs="Times New Roman"/>
          <w:b/>
          <w:bCs/>
          <w:sz w:val="36"/>
          <w:szCs w:val="36"/>
        </w:rPr>
        <w:t>Section snippets</w:t>
      </w:r>
    </w:p>
    <w:p w:rsidR="005B0CD4" w:rsidRPr="005B0CD4" w:rsidRDefault="005B0CD4" w:rsidP="005B0CD4">
      <w:pPr>
        <w:spacing w:before="100" w:beforeAutospacing="1" w:after="100" w:afterAutospacing="1" w:line="240" w:lineRule="auto"/>
        <w:outlineLvl w:val="1"/>
        <w:rPr>
          <w:rFonts w:ascii="Times New Roman" w:eastAsia="Times New Roman" w:hAnsi="Times New Roman" w:cs="Times New Roman"/>
          <w:b/>
          <w:bCs/>
          <w:sz w:val="36"/>
          <w:szCs w:val="36"/>
        </w:rPr>
      </w:pPr>
      <w:r w:rsidRPr="005B0CD4">
        <w:rPr>
          <w:rFonts w:ascii="Times New Roman" w:eastAsia="Times New Roman" w:hAnsi="Times New Roman" w:cs="Times New Roman"/>
          <w:b/>
          <w:bCs/>
          <w:sz w:val="36"/>
          <w:szCs w:val="36"/>
        </w:rPr>
        <w:t>Experimental methods</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One hundred polished thin sections having total area of 42 cm</w:t>
      </w:r>
      <w:r w:rsidRPr="005B0CD4">
        <w:rPr>
          <w:rFonts w:ascii="Times New Roman" w:eastAsia="Times New Roman" w:hAnsi="Times New Roman" w:cs="Times New Roman"/>
          <w:sz w:val="24"/>
          <w:szCs w:val="24"/>
          <w:vertAlign w:val="superscript"/>
        </w:rPr>
        <w:t>2</w:t>
      </w:r>
      <w:r w:rsidRPr="005B0CD4">
        <w:rPr>
          <w:rFonts w:ascii="Times New Roman" w:eastAsia="Times New Roman" w:hAnsi="Times New Roman" w:cs="Times New Roman"/>
          <w:sz w:val="24"/>
          <w:szCs w:val="24"/>
        </w:rPr>
        <w:t xml:space="preserve"> were prepared from the Allende CV3 (36 cm</w:t>
      </w:r>
      <w:r w:rsidRPr="005B0CD4">
        <w:rPr>
          <w:rFonts w:ascii="Times New Roman" w:eastAsia="Times New Roman" w:hAnsi="Times New Roman" w:cs="Times New Roman"/>
          <w:sz w:val="24"/>
          <w:szCs w:val="24"/>
          <w:vertAlign w:val="superscript"/>
        </w:rPr>
        <w:t>2</w:t>
      </w:r>
      <w:r w:rsidRPr="005B0CD4">
        <w:rPr>
          <w:rFonts w:ascii="Times New Roman" w:eastAsia="Times New Roman" w:hAnsi="Times New Roman" w:cs="Times New Roman"/>
          <w:sz w:val="24"/>
          <w:szCs w:val="24"/>
        </w:rPr>
        <w:t>) and Axtell CV3 (6 cm</w:t>
      </w:r>
      <w:r w:rsidRPr="005B0CD4">
        <w:rPr>
          <w:rFonts w:ascii="Times New Roman" w:eastAsia="Times New Roman" w:hAnsi="Times New Roman" w:cs="Times New Roman"/>
          <w:sz w:val="24"/>
          <w:szCs w:val="24"/>
          <w:vertAlign w:val="superscript"/>
        </w:rPr>
        <w:t>2</w:t>
      </w:r>
      <w:r w:rsidRPr="005B0CD4">
        <w:rPr>
          <w:rFonts w:ascii="Times New Roman" w:eastAsia="Times New Roman" w:hAnsi="Times New Roman" w:cs="Times New Roman"/>
          <w:sz w:val="24"/>
          <w:szCs w:val="24"/>
        </w:rPr>
        <w:t xml:space="preserve">) chondrites and examined petrographically using an optical microscope. We found thirty sets of </w:t>
      </w:r>
      <w:proofErr w:type="gramStart"/>
      <w:r w:rsidRPr="005B0CD4">
        <w:rPr>
          <w:rFonts w:ascii="Times New Roman" w:eastAsia="Times New Roman" w:hAnsi="Times New Roman" w:cs="Times New Roman"/>
          <w:sz w:val="24"/>
          <w:szCs w:val="24"/>
        </w:rPr>
        <w:t>compound</w:t>
      </w:r>
      <w:proofErr w:type="gramEnd"/>
      <w:r w:rsidRPr="005B0CD4">
        <w:rPr>
          <w:rFonts w:ascii="Times New Roman" w:eastAsia="Times New Roman" w:hAnsi="Times New Roman" w:cs="Times New Roman"/>
          <w:sz w:val="24"/>
          <w:szCs w:val="24"/>
        </w:rPr>
        <w:t xml:space="preserve"> chondrules comprising 29 sets from Allende and 1 set from Axtell. A scanning electron microscope (SEM: JEOL-5800LV) equipped with a backscattered electron (BSE) imaging system and an energy-dispersive X-ray spectrometer was used to identify mineral phases in</w:t>
      </w:r>
    </w:p>
    <w:p w:rsidR="005B0CD4" w:rsidRPr="005B0CD4" w:rsidRDefault="005B0CD4" w:rsidP="005B0CD4">
      <w:pPr>
        <w:spacing w:before="100" w:beforeAutospacing="1" w:after="100" w:afterAutospacing="1" w:line="240" w:lineRule="auto"/>
        <w:outlineLvl w:val="1"/>
        <w:rPr>
          <w:rFonts w:ascii="Times New Roman" w:eastAsia="Times New Roman" w:hAnsi="Times New Roman" w:cs="Times New Roman"/>
          <w:b/>
          <w:bCs/>
          <w:sz w:val="36"/>
          <w:szCs w:val="36"/>
        </w:rPr>
      </w:pPr>
      <w:r w:rsidRPr="005B0CD4">
        <w:rPr>
          <w:rFonts w:ascii="Times New Roman" w:eastAsia="Times New Roman" w:hAnsi="Times New Roman" w:cs="Times New Roman"/>
          <w:b/>
          <w:bCs/>
          <w:sz w:val="36"/>
          <w:szCs w:val="36"/>
        </w:rPr>
        <w:lastRenderedPageBreak/>
        <w:t>Classification of compound chondrules found in Allende and Axtell</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Wasson et al. (1995) defined compound chondrules based on textures and assigned each constituent chondrule as primary or secondary. The primary chondrule was rigid enough to retain its original shape at the time of compound-chondrule formation. On the other hand, the secondary chondrule had a viscosity low enough to allow it to conform the shape of the primary. In addition, they also recognized three basic structural types of compound chondrules: (1) the enveloping type, wherein a secondary</w:t>
      </w:r>
    </w:p>
    <w:p w:rsidR="005B0CD4" w:rsidRPr="005B0CD4" w:rsidRDefault="005B0CD4" w:rsidP="005B0CD4">
      <w:pPr>
        <w:spacing w:before="100" w:beforeAutospacing="1" w:after="100" w:afterAutospacing="1" w:line="240" w:lineRule="auto"/>
        <w:outlineLvl w:val="1"/>
        <w:rPr>
          <w:rFonts w:ascii="Times New Roman" w:eastAsia="Times New Roman" w:hAnsi="Times New Roman" w:cs="Times New Roman"/>
          <w:b/>
          <w:bCs/>
          <w:sz w:val="36"/>
          <w:szCs w:val="36"/>
        </w:rPr>
      </w:pPr>
      <w:r w:rsidRPr="005B0CD4">
        <w:rPr>
          <w:rFonts w:ascii="Times New Roman" w:eastAsia="Times New Roman" w:hAnsi="Times New Roman" w:cs="Times New Roman"/>
          <w:b/>
          <w:bCs/>
          <w:sz w:val="36"/>
          <w:szCs w:val="36"/>
        </w:rPr>
        <w:t>Abundance of Compound Chondrules and Distribution among Textural Types</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Table 2 shows the number of single and compound chondrules observed in 100 thin sections (83 sections from Allende CV3 and 17 from Axtell CV3). In Allende 29 out of 1846 chondrules (1.76%) and in Axtell only one out of 230 chondrules (0.4%) were compound chondrules. On average, 1.4% of the observed chondrules are compound.</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 xml:space="preserve">The distribution of chondrule textural types in compound chondrules is shown in Table 1. The textural types of chondrules were classified into two groups: nonporphyritic types </w:t>
      </w:r>
    </w:p>
    <w:p w:rsidR="005B0CD4" w:rsidRPr="005B0CD4" w:rsidRDefault="005B0CD4" w:rsidP="005B0CD4">
      <w:pPr>
        <w:spacing w:before="100" w:beforeAutospacing="1" w:after="100" w:afterAutospacing="1" w:line="240" w:lineRule="auto"/>
        <w:outlineLvl w:val="1"/>
        <w:rPr>
          <w:rFonts w:ascii="Times New Roman" w:eastAsia="Times New Roman" w:hAnsi="Times New Roman" w:cs="Times New Roman"/>
          <w:b/>
          <w:bCs/>
          <w:sz w:val="36"/>
          <w:szCs w:val="36"/>
        </w:rPr>
      </w:pPr>
      <w:r w:rsidRPr="005B0CD4">
        <w:rPr>
          <w:rFonts w:ascii="Times New Roman" w:eastAsia="Times New Roman" w:hAnsi="Times New Roman" w:cs="Times New Roman"/>
          <w:b/>
          <w:bCs/>
          <w:sz w:val="36"/>
          <w:szCs w:val="36"/>
        </w:rPr>
        <w:t>Conclusions</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 xml:space="preserve">Thirty sets of </w:t>
      </w:r>
      <w:proofErr w:type="gramStart"/>
      <w:r w:rsidRPr="005B0CD4">
        <w:rPr>
          <w:rFonts w:ascii="Times New Roman" w:eastAsia="Times New Roman" w:hAnsi="Times New Roman" w:cs="Times New Roman"/>
          <w:sz w:val="24"/>
          <w:szCs w:val="24"/>
        </w:rPr>
        <w:t>compound</w:t>
      </w:r>
      <w:proofErr w:type="gramEnd"/>
      <w:r w:rsidRPr="005B0CD4">
        <w:rPr>
          <w:rFonts w:ascii="Times New Roman" w:eastAsia="Times New Roman" w:hAnsi="Times New Roman" w:cs="Times New Roman"/>
          <w:sz w:val="24"/>
          <w:szCs w:val="24"/>
        </w:rPr>
        <w:t xml:space="preserve"> chondrules found in Allende and Axtell were classified into 3 types; blurred boundary type, adhering or consorting type and enveloping type based on their texture. Both blurred boundary type, and adhering or consorting type compound chondrules formed by the collision between totally or partially molten chondrules. Compounds with blurred boundary were formed by a collision between two chondrules, before the outer portions of two chondrules solidified completely. In fact,</w:t>
      </w:r>
    </w:p>
    <w:p w:rsidR="005B0CD4" w:rsidRPr="005B0CD4" w:rsidRDefault="005B0CD4" w:rsidP="005B0CD4">
      <w:pPr>
        <w:spacing w:before="100" w:beforeAutospacing="1" w:after="100" w:afterAutospacing="1" w:line="240" w:lineRule="auto"/>
        <w:outlineLvl w:val="1"/>
        <w:rPr>
          <w:rFonts w:ascii="Times New Roman" w:eastAsia="Times New Roman" w:hAnsi="Times New Roman" w:cs="Times New Roman"/>
          <w:b/>
          <w:bCs/>
          <w:sz w:val="36"/>
          <w:szCs w:val="36"/>
        </w:rPr>
      </w:pPr>
      <w:r w:rsidRPr="005B0CD4">
        <w:rPr>
          <w:rFonts w:ascii="Times New Roman" w:eastAsia="Times New Roman" w:hAnsi="Times New Roman" w:cs="Times New Roman"/>
          <w:b/>
          <w:bCs/>
          <w:sz w:val="36"/>
          <w:szCs w:val="36"/>
        </w:rPr>
        <w:t>Acknowledgments</w:t>
      </w:r>
    </w:p>
    <w:p w:rsidR="005B0CD4" w:rsidRPr="005B0CD4" w:rsidRDefault="005B0CD4" w:rsidP="005B0CD4">
      <w:pPr>
        <w:spacing w:before="100" w:beforeAutospacing="1" w:after="100" w:afterAutospacing="1" w:line="240" w:lineRule="auto"/>
        <w:rPr>
          <w:rFonts w:ascii="Times New Roman" w:eastAsia="Times New Roman" w:hAnsi="Times New Roman" w:cs="Times New Roman"/>
          <w:sz w:val="24"/>
          <w:szCs w:val="24"/>
        </w:rPr>
      </w:pPr>
      <w:r w:rsidRPr="005B0CD4">
        <w:rPr>
          <w:rFonts w:ascii="Times New Roman" w:eastAsia="Times New Roman" w:hAnsi="Times New Roman" w:cs="Times New Roman"/>
          <w:sz w:val="24"/>
          <w:szCs w:val="24"/>
        </w:rPr>
        <w:t>We are grateful to Drs. K. Tsukamoto, T. Noguchi and T. Yada for constructive comments and discussion. We thank Mr. K. Shimada for technical assistance during EPMA analysis. We are grateful to Dr. S. S. Russell for improvement of English and helpful comments. Extensive reviews by Drs. S. Itoh and H. C. Connolly Jr. significantly improved the quality of the article.</w:t>
      </w:r>
    </w:p>
    <w:p w:rsidR="0027748E" w:rsidRDefault="0027748E"/>
    <w:sectPr w:rsidR="0027748E">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0CD4"/>
    <w:rsid w:val="0027748E"/>
    <w:rsid w:val="005B0C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259FAE"/>
  <w15:chartTrackingRefBased/>
  <w15:docId w15:val="{3D6D02EE-75BE-4B79-BE5B-4EE917B11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87347473">
      <w:bodyDiv w:val="1"/>
      <w:marLeft w:val="0"/>
      <w:marRight w:val="0"/>
      <w:marTop w:val="0"/>
      <w:marBottom w:val="0"/>
      <w:divBdr>
        <w:top w:val="none" w:sz="0" w:space="0" w:color="auto"/>
        <w:left w:val="none" w:sz="0" w:space="0" w:color="auto"/>
        <w:bottom w:val="none" w:sz="0" w:space="0" w:color="auto"/>
        <w:right w:val="none" w:sz="0" w:space="0" w:color="auto"/>
      </w:divBdr>
      <w:divsChild>
        <w:div w:id="2009744924">
          <w:marLeft w:val="0"/>
          <w:marRight w:val="0"/>
          <w:marTop w:val="0"/>
          <w:marBottom w:val="0"/>
          <w:divBdr>
            <w:top w:val="none" w:sz="0" w:space="0" w:color="auto"/>
            <w:left w:val="none" w:sz="0" w:space="0" w:color="auto"/>
            <w:bottom w:val="none" w:sz="0" w:space="0" w:color="auto"/>
            <w:right w:val="none" w:sz="0" w:space="0" w:color="auto"/>
          </w:divBdr>
          <w:divsChild>
            <w:div w:id="2045521833">
              <w:marLeft w:val="0"/>
              <w:marRight w:val="0"/>
              <w:marTop w:val="0"/>
              <w:marBottom w:val="0"/>
              <w:divBdr>
                <w:top w:val="none" w:sz="0" w:space="0" w:color="auto"/>
                <w:left w:val="none" w:sz="0" w:space="0" w:color="auto"/>
                <w:bottom w:val="none" w:sz="0" w:space="0" w:color="auto"/>
                <w:right w:val="none" w:sz="0" w:space="0" w:color="auto"/>
              </w:divBdr>
              <w:divsChild>
                <w:div w:id="1448894197">
                  <w:marLeft w:val="0"/>
                  <w:marRight w:val="0"/>
                  <w:marTop w:val="0"/>
                  <w:marBottom w:val="0"/>
                  <w:divBdr>
                    <w:top w:val="none" w:sz="0" w:space="0" w:color="auto"/>
                    <w:left w:val="none" w:sz="0" w:space="0" w:color="auto"/>
                    <w:bottom w:val="none" w:sz="0" w:space="0" w:color="auto"/>
                    <w:right w:val="none" w:sz="0" w:space="0" w:color="auto"/>
                  </w:divBdr>
                  <w:divsChild>
                    <w:div w:id="81949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0662754">
          <w:marLeft w:val="0"/>
          <w:marRight w:val="0"/>
          <w:marTop w:val="0"/>
          <w:marBottom w:val="0"/>
          <w:divBdr>
            <w:top w:val="none" w:sz="0" w:space="0" w:color="auto"/>
            <w:left w:val="none" w:sz="0" w:space="0" w:color="auto"/>
            <w:bottom w:val="none" w:sz="0" w:space="0" w:color="auto"/>
            <w:right w:val="none" w:sz="0" w:space="0" w:color="auto"/>
          </w:divBdr>
          <w:divsChild>
            <w:div w:id="175965326">
              <w:marLeft w:val="0"/>
              <w:marRight w:val="0"/>
              <w:marTop w:val="0"/>
              <w:marBottom w:val="0"/>
              <w:divBdr>
                <w:top w:val="none" w:sz="0" w:space="0" w:color="auto"/>
                <w:left w:val="none" w:sz="0" w:space="0" w:color="auto"/>
                <w:bottom w:val="none" w:sz="0" w:space="0" w:color="auto"/>
                <w:right w:val="none" w:sz="0" w:space="0" w:color="auto"/>
              </w:divBdr>
              <w:divsChild>
                <w:div w:id="409616462">
                  <w:marLeft w:val="0"/>
                  <w:marRight w:val="0"/>
                  <w:marTop w:val="0"/>
                  <w:marBottom w:val="0"/>
                  <w:divBdr>
                    <w:top w:val="none" w:sz="0" w:space="0" w:color="auto"/>
                    <w:left w:val="none" w:sz="0" w:space="0" w:color="auto"/>
                    <w:bottom w:val="none" w:sz="0" w:space="0" w:color="auto"/>
                    <w:right w:val="none" w:sz="0" w:space="0" w:color="auto"/>
                  </w:divBdr>
                  <w:divsChild>
                    <w:div w:id="1059984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6677935">
          <w:marLeft w:val="0"/>
          <w:marRight w:val="0"/>
          <w:marTop w:val="0"/>
          <w:marBottom w:val="0"/>
          <w:divBdr>
            <w:top w:val="none" w:sz="0" w:space="0" w:color="auto"/>
            <w:left w:val="none" w:sz="0" w:space="0" w:color="auto"/>
            <w:bottom w:val="none" w:sz="0" w:space="0" w:color="auto"/>
            <w:right w:val="none" w:sz="0" w:space="0" w:color="auto"/>
          </w:divBdr>
          <w:divsChild>
            <w:div w:id="1574580970">
              <w:marLeft w:val="0"/>
              <w:marRight w:val="0"/>
              <w:marTop w:val="0"/>
              <w:marBottom w:val="0"/>
              <w:divBdr>
                <w:top w:val="none" w:sz="0" w:space="0" w:color="auto"/>
                <w:left w:val="none" w:sz="0" w:space="0" w:color="auto"/>
                <w:bottom w:val="none" w:sz="0" w:space="0" w:color="auto"/>
                <w:right w:val="none" w:sz="0" w:space="0" w:color="auto"/>
              </w:divBdr>
            </w:div>
          </w:divsChild>
        </w:div>
        <w:div w:id="1664428591">
          <w:marLeft w:val="0"/>
          <w:marRight w:val="0"/>
          <w:marTop w:val="0"/>
          <w:marBottom w:val="0"/>
          <w:divBdr>
            <w:top w:val="none" w:sz="0" w:space="0" w:color="auto"/>
            <w:left w:val="none" w:sz="0" w:space="0" w:color="auto"/>
            <w:bottom w:val="none" w:sz="0" w:space="0" w:color="auto"/>
            <w:right w:val="none" w:sz="0" w:space="0" w:color="auto"/>
          </w:divBdr>
          <w:divsChild>
            <w:div w:id="160754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pyroxene"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isotopic-composi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chondrite" TargetMode="External"/><Relationship Id="rId5" Type="http://schemas.openxmlformats.org/officeDocument/2006/relationships/hyperlink" Target="https://www.sciencedirect.com/topics/earth-and-planetary-sciences/chondrule" TargetMode="External"/><Relationship Id="rId10" Type="http://schemas.openxmlformats.org/officeDocument/2006/relationships/theme" Target="theme/theme1.xml"/><Relationship Id="rId4" Type="http://schemas.openxmlformats.org/officeDocument/2006/relationships/hyperlink" Target="https://doi.org/10.1016/j.gca.2004.12.025"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1371</Words>
  <Characters>7821</Characters>
  <Application>Microsoft Office Word</Application>
  <DocSecurity>0</DocSecurity>
  <Lines>65</Lines>
  <Paragraphs>18</Paragraphs>
  <ScaleCrop>false</ScaleCrop>
  <Company/>
  <LinksUpToDate>false</LinksUpToDate>
  <CharactersWithSpaces>9174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2023-11-18T08:51:00Z</dcterms:created>
  <dcterms:modified xsi:type="dcterms:W3CDTF">2023-11-18T08:51:00Z</dcterms:modified>
</cp:coreProperties>
</file>