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D1775" w:rsidRPr="007D1775" w:rsidRDefault="007D1775" w:rsidP="007D177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D1775">
        <w:rPr>
          <w:rFonts w:ascii="Times New Roman" w:eastAsia="Times New Roman" w:hAnsi="Times New Roman" w:cs="Times New Roman"/>
          <w:b/>
          <w:bCs/>
          <w:kern w:val="36"/>
          <w:sz w:val="48"/>
          <w:szCs w:val="48"/>
        </w:rPr>
        <w:t xml:space="preserve">Arsenic mobility in the ambient sulfidic environment: Sorption of arsenic(V) and </w:t>
      </w:r>
      <w:proofErr w:type="gramStart"/>
      <w:r w:rsidRPr="007D1775">
        <w:rPr>
          <w:rFonts w:ascii="Times New Roman" w:eastAsia="Times New Roman" w:hAnsi="Times New Roman" w:cs="Times New Roman"/>
          <w:b/>
          <w:bCs/>
          <w:kern w:val="36"/>
          <w:sz w:val="48"/>
          <w:szCs w:val="48"/>
        </w:rPr>
        <w:t>arsenic(</w:t>
      </w:r>
      <w:proofErr w:type="gramEnd"/>
      <w:r w:rsidRPr="007D1775">
        <w:rPr>
          <w:rFonts w:ascii="Times New Roman" w:eastAsia="Times New Roman" w:hAnsi="Times New Roman" w:cs="Times New Roman"/>
          <w:b/>
          <w:bCs/>
          <w:kern w:val="36"/>
          <w:sz w:val="48"/>
          <w:szCs w:val="48"/>
        </w:rPr>
        <w:t>III) onto disordered mackinawite</w:t>
      </w:r>
    </w:p>
    <w:p w:rsidR="007D1775" w:rsidRPr="007D1775" w:rsidRDefault="007D1775" w:rsidP="007D1775">
      <w:pPr>
        <w:spacing w:after="0"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Author links open overlay panel</w:t>
      </w:r>
    </w:p>
    <w:p w:rsidR="007D1775" w:rsidRPr="007D1775" w:rsidRDefault="007D1775" w:rsidP="007D1775">
      <w:pPr>
        <w:spacing w:after="0"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 </w:t>
      </w:r>
      <w:bookmarkStart w:id="0" w:name="baep-author-id7-profile"/>
      <w:r w:rsidRPr="007D1775">
        <w:rPr>
          <w:rFonts w:ascii="Times New Roman" w:eastAsia="Times New Roman" w:hAnsi="Times New Roman" w:cs="Times New Roman"/>
          <w:sz w:val="24"/>
          <w:szCs w:val="24"/>
        </w:rPr>
        <w:fldChar w:fldCharType="begin"/>
      </w:r>
      <w:r w:rsidRPr="007D1775">
        <w:rPr>
          <w:rFonts w:ascii="Times New Roman" w:eastAsia="Times New Roman" w:hAnsi="Times New Roman" w:cs="Times New Roman"/>
          <w:sz w:val="24"/>
          <w:szCs w:val="24"/>
        </w:rPr>
        <w:instrText xml:space="preserve"> HYPERLINK "https://www.sciencedirect.com/author/7005579442/laurent-charlet" </w:instrText>
      </w:r>
      <w:r w:rsidRPr="007D1775">
        <w:rPr>
          <w:rFonts w:ascii="Times New Roman" w:eastAsia="Times New Roman" w:hAnsi="Times New Roman" w:cs="Times New Roman"/>
          <w:sz w:val="24"/>
          <w:szCs w:val="24"/>
        </w:rPr>
        <w:fldChar w:fldCharType="separate"/>
      </w:r>
      <w:r w:rsidRPr="007D1775">
        <w:rPr>
          <w:rFonts w:ascii="Times New Roman" w:eastAsia="Times New Roman" w:hAnsi="Times New Roman" w:cs="Times New Roman"/>
          <w:color w:val="0000FF"/>
          <w:sz w:val="24"/>
          <w:szCs w:val="24"/>
          <w:u w:val="single"/>
        </w:rPr>
        <w:t xml:space="preserve">Laurent </w:t>
      </w:r>
      <w:proofErr w:type="spellStart"/>
      <w:r w:rsidRPr="007D1775">
        <w:rPr>
          <w:rFonts w:ascii="Times New Roman" w:eastAsia="Times New Roman" w:hAnsi="Times New Roman" w:cs="Times New Roman"/>
          <w:color w:val="0000FF"/>
          <w:sz w:val="24"/>
          <w:szCs w:val="24"/>
          <w:u w:val="single"/>
        </w:rPr>
        <w:t>Charlet</w:t>
      </w:r>
      <w:proofErr w:type="spellEnd"/>
      <w:r w:rsidRPr="007D1775">
        <w:rPr>
          <w:rFonts w:ascii="Times New Roman" w:eastAsia="Times New Roman" w:hAnsi="Times New Roman" w:cs="Times New Roman"/>
          <w:color w:val="0000FF"/>
          <w:sz w:val="24"/>
          <w:szCs w:val="24"/>
          <w:u w:val="single"/>
        </w:rPr>
        <w:t xml:space="preserve"> </w:t>
      </w:r>
      <w:r w:rsidRPr="007D1775">
        <w:rPr>
          <w:rFonts w:ascii="Times New Roman" w:eastAsia="Times New Roman" w:hAnsi="Times New Roman" w:cs="Times New Roman"/>
          <w:color w:val="0000FF"/>
          <w:sz w:val="24"/>
          <w:szCs w:val="24"/>
          <w:u w:val="single"/>
          <w:vertAlign w:val="superscript"/>
        </w:rPr>
        <w:t>2</w:t>
      </w:r>
      <w:r w:rsidRPr="007D1775">
        <w:rPr>
          <w:rFonts w:ascii="Times New Roman" w:eastAsia="Times New Roman" w:hAnsi="Times New Roman" w:cs="Times New Roman"/>
          <w:sz w:val="24"/>
          <w:szCs w:val="24"/>
        </w:rPr>
        <w:fldChar w:fldCharType="end"/>
      </w:r>
      <w:bookmarkEnd w:id="0"/>
      <w:r w:rsidRPr="007D1775">
        <w:rPr>
          <w:rFonts w:ascii="Times New Roman" w:eastAsia="Times New Roman" w:hAnsi="Times New Roman" w:cs="Times New Roman"/>
          <w:sz w:val="24"/>
          <w:szCs w:val="24"/>
        </w:rPr>
        <w:t xml:space="preserve">, , , </w:t>
      </w:r>
    </w:p>
    <w:p w:rsidR="007D1775" w:rsidRPr="007D1775" w:rsidRDefault="007D1775" w:rsidP="007D177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D1775">
          <w:rPr>
            <w:rFonts w:ascii="Times New Roman" w:eastAsia="Times New Roman" w:hAnsi="Times New Roman" w:cs="Times New Roman"/>
            <w:color w:val="0000FF"/>
            <w:sz w:val="24"/>
            <w:szCs w:val="24"/>
            <w:u w:val="single"/>
          </w:rPr>
          <w:t>https://doi.org/10.1016/j.gca.2005.03.003</w:t>
        </w:r>
      </w:hyperlink>
      <w:bookmarkStart w:id="1" w:name="_GoBack"/>
      <w:bookmarkEnd w:id="1"/>
      <w:r w:rsidRPr="007D1775">
        <w:rPr>
          <w:rFonts w:ascii="Times New Roman" w:eastAsia="Times New Roman" w:hAnsi="Times New Roman" w:cs="Times New Roman"/>
          <w:sz w:val="24"/>
          <w:szCs w:val="24"/>
        </w:rPr>
        <w:t xml:space="preserve"> </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Abstract</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Arsenate, As(V), </w:t>
      </w:r>
      <w:hyperlink r:id="rId5" w:tooltip="Learn more about sorption from ScienceDirect's AI-generated Topic Pages" w:history="1">
        <w:r w:rsidRPr="007D1775">
          <w:rPr>
            <w:rFonts w:ascii="Times New Roman" w:eastAsia="Times New Roman" w:hAnsi="Times New Roman" w:cs="Times New Roman"/>
            <w:color w:val="0000FF"/>
            <w:sz w:val="24"/>
            <w:szCs w:val="24"/>
            <w:u w:val="single"/>
          </w:rPr>
          <w:t>sorption</w:t>
        </w:r>
      </w:hyperlink>
      <w:r w:rsidRPr="007D1775">
        <w:rPr>
          <w:rFonts w:ascii="Times New Roman" w:eastAsia="Times New Roman" w:hAnsi="Times New Roman" w:cs="Times New Roman"/>
          <w:sz w:val="24"/>
          <w:szCs w:val="24"/>
        </w:rPr>
        <w:t xml:space="preserve"> onto synthetic iron(II) </w:t>
      </w:r>
      <w:proofErr w:type="spellStart"/>
      <w:r w:rsidRPr="007D1775">
        <w:rPr>
          <w:rFonts w:ascii="Times New Roman" w:eastAsia="Times New Roman" w:hAnsi="Times New Roman" w:cs="Times New Roman"/>
          <w:sz w:val="24"/>
          <w:szCs w:val="24"/>
        </w:rPr>
        <w:t>monosulfide</w:t>
      </w:r>
      <w:proofErr w:type="spellEnd"/>
      <w:r w:rsidRPr="007D1775">
        <w:rPr>
          <w:rFonts w:ascii="Times New Roman" w:eastAsia="Times New Roman" w:hAnsi="Times New Roman" w:cs="Times New Roman"/>
          <w:sz w:val="24"/>
          <w:szCs w:val="24"/>
        </w:rPr>
        <w:t xml:space="preserve">, disordered </w:t>
      </w:r>
      <w:hyperlink r:id="rId6" w:tooltip="Learn more about mackinawite from ScienceDirect's AI-generated Topic Pages" w:history="1">
        <w:r w:rsidRPr="007D1775">
          <w:rPr>
            <w:rFonts w:ascii="Times New Roman" w:eastAsia="Times New Roman" w:hAnsi="Times New Roman" w:cs="Times New Roman"/>
            <w:color w:val="0000FF"/>
            <w:sz w:val="24"/>
            <w:szCs w:val="24"/>
            <w:u w:val="single"/>
          </w:rPr>
          <w:t>mackinawite</w:t>
        </w:r>
      </w:hyperlink>
      <w:r w:rsidRPr="007D1775">
        <w:rPr>
          <w:rFonts w:ascii="Times New Roman" w:eastAsia="Times New Roman" w:hAnsi="Times New Roman" w:cs="Times New Roman"/>
          <w:sz w:val="24"/>
          <w:szCs w:val="24"/>
        </w:rPr>
        <w:t xml:space="preserve">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is fast. As(V) sorption decreases above the point of zero surface charge of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and follows the pH-dependent concentration of positively charged surface species. No redox reaction is observed between the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(V) ions and the mineral surface over the time span of the experiments. This observation shows that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(V) dominantly forms an outer-sphere complex at the surface of mackinawite. </w:t>
      </w:r>
      <w:hyperlink r:id="rId7" w:tooltip="Learn more about Arsenite from ScienceDirect's AI-generated Topic Pages" w:history="1">
        <w:proofErr w:type="spellStart"/>
        <w:r w:rsidRPr="007D1775">
          <w:rPr>
            <w:rFonts w:ascii="Times New Roman" w:eastAsia="Times New Roman" w:hAnsi="Times New Roman" w:cs="Times New Roman"/>
            <w:color w:val="0000FF"/>
            <w:sz w:val="24"/>
            <w:szCs w:val="24"/>
            <w:u w:val="single"/>
          </w:rPr>
          <w:t>Arsenite</w:t>
        </w:r>
        <w:proofErr w:type="spellEnd"/>
      </w:hyperlink>
      <w:r w:rsidRPr="007D1775">
        <w:rPr>
          <w:rFonts w:ascii="Times New Roman" w:eastAsia="Times New Roman" w:hAnsi="Times New Roman" w:cs="Times New Roman"/>
          <w:sz w:val="24"/>
          <w:szCs w:val="24"/>
        </w:rPr>
        <w:t xml:space="preserve">,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sorption is not strongly pH-dependent and can be expressed by a Freundlich isotherm. Sorption is fast, although slower than that of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(V).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also forms an outer-sphere complex at the surface of mackinawite. In agreement with previous spectroscopic studies, complexation at low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concentration occurs preferentially at the mono-coordinated sulfide edge sites. The </w:t>
      </w:r>
      <w:proofErr w:type="spellStart"/>
      <w:r w:rsidRPr="007D1775">
        <w:rPr>
          <w:rFonts w:ascii="Times New Roman" w:eastAsia="Times New Roman" w:hAnsi="Times New Roman" w:cs="Times New Roman"/>
          <w:sz w:val="24"/>
          <w:szCs w:val="24"/>
        </w:rPr>
        <w:t>K</w:t>
      </w:r>
      <w:r w:rsidRPr="007D1775">
        <w:rPr>
          <w:rFonts w:ascii="Times New Roman" w:eastAsia="Times New Roman" w:hAnsi="Times New Roman" w:cs="Times New Roman"/>
          <w:sz w:val="24"/>
          <w:szCs w:val="24"/>
          <w:vertAlign w:val="subscript"/>
        </w:rPr>
        <w:t>d</w:t>
      </w:r>
      <w:proofErr w:type="spellEnd"/>
      <w:r w:rsidRPr="007D1775">
        <w:rPr>
          <w:rFonts w:ascii="Times New Roman" w:eastAsia="Times New Roman" w:hAnsi="Times New Roman" w:cs="Times New Roman"/>
          <w:sz w:val="24"/>
          <w:szCs w:val="24"/>
        </w:rPr>
        <w:t xml:space="preserve"> (L g</w:t>
      </w:r>
      <w:r w:rsidRPr="007D1775">
        <w:rPr>
          <w:rFonts w:ascii="Times New Roman" w:eastAsia="Times New Roman" w:hAnsi="Times New Roman" w:cs="Times New Roman"/>
          <w:sz w:val="24"/>
          <w:szCs w:val="24"/>
          <w:vertAlign w:val="superscript"/>
        </w:rPr>
        <w:t>−1</w:t>
      </w:r>
      <w:r w:rsidRPr="007D1775">
        <w:rPr>
          <w:rFonts w:ascii="Times New Roman" w:eastAsia="Times New Roman" w:hAnsi="Times New Roman" w:cs="Times New Roman"/>
          <w:sz w:val="24"/>
          <w:szCs w:val="24"/>
        </w:rPr>
        <w:t xml:space="preserve">) values obtained from linear fits to the isotherm data are </w:t>
      </w:r>
      <w:r w:rsidRPr="007D1775">
        <w:rPr>
          <w:rFonts w:ascii="Cambria Math" w:eastAsia="Times New Roman" w:hAnsi="Cambria Math" w:cs="Cambria Math"/>
          <w:sz w:val="24"/>
          <w:szCs w:val="24"/>
        </w:rPr>
        <w:t>∼</w:t>
      </w:r>
      <w:r w:rsidRPr="007D1775">
        <w:rPr>
          <w:rFonts w:ascii="Times New Roman" w:eastAsia="Times New Roman" w:hAnsi="Times New Roman" w:cs="Times New Roman"/>
          <w:sz w:val="24"/>
          <w:szCs w:val="24"/>
        </w:rPr>
        <w:t xml:space="preserve">9 for As(V) and </w:t>
      </w:r>
      <w:r w:rsidRPr="007D1775">
        <w:rPr>
          <w:rFonts w:ascii="Cambria Math" w:eastAsia="Times New Roman" w:hAnsi="Cambria Math" w:cs="Cambria Math"/>
          <w:sz w:val="24"/>
          <w:szCs w:val="24"/>
        </w:rPr>
        <w:t>∼</w:t>
      </w:r>
      <w:r w:rsidRPr="007D1775">
        <w:rPr>
          <w:rFonts w:ascii="Times New Roman" w:eastAsia="Times New Roman" w:hAnsi="Times New Roman" w:cs="Times New Roman"/>
          <w:sz w:val="24"/>
          <w:szCs w:val="24"/>
        </w:rPr>
        <w:t xml:space="preserve">2 for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Stronger sorption of As(V) than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III), and thus a higher As(III) mobility, may be reflected in natural anoxic sulfidic waters when disordered mackinawite controls arsenic mobility.</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Introduction</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At </w:t>
      </w:r>
      <w:proofErr w:type="spellStart"/>
      <w:r w:rsidRPr="007D1775">
        <w:rPr>
          <w:rFonts w:ascii="Times New Roman" w:eastAsia="Times New Roman" w:hAnsi="Times New Roman" w:cs="Times New Roman"/>
          <w:sz w:val="24"/>
          <w:szCs w:val="24"/>
        </w:rPr>
        <w:t>oxic</w:t>
      </w:r>
      <w:proofErr w:type="spellEnd"/>
      <w:r w:rsidRPr="007D1775">
        <w:rPr>
          <w:rFonts w:ascii="Times New Roman" w:eastAsia="Times New Roman" w:hAnsi="Times New Roman" w:cs="Times New Roman"/>
          <w:sz w:val="24"/>
          <w:szCs w:val="24"/>
        </w:rPr>
        <w:t xml:space="preserve"> to anoxic transitions, arsenic is released from reductively dissolving iron hydroxides into the surrounding pore water, groundwater, or water body (cf. Smedley and </w:t>
      </w:r>
      <w:proofErr w:type="spellStart"/>
      <w:r w:rsidRPr="007D1775">
        <w:rPr>
          <w:rFonts w:ascii="Times New Roman" w:eastAsia="Times New Roman" w:hAnsi="Times New Roman" w:cs="Times New Roman"/>
          <w:sz w:val="24"/>
          <w:szCs w:val="24"/>
        </w:rPr>
        <w:t>Kinniburgh</w:t>
      </w:r>
      <w:proofErr w:type="spellEnd"/>
      <w:r w:rsidRPr="007D1775">
        <w:rPr>
          <w:rFonts w:ascii="Times New Roman" w:eastAsia="Times New Roman" w:hAnsi="Times New Roman" w:cs="Times New Roman"/>
          <w:sz w:val="24"/>
          <w:szCs w:val="24"/>
        </w:rPr>
        <w:t>, 2002). In reducing waters with low sulfide, S(−II), concentrations, arsenic occurs in solutions predominantly as oxyanions of As(V) (Fig. 1a) or As(III) (Fig. 1b), and as oligomers such as As</w:t>
      </w:r>
      <w:r w:rsidRPr="007D1775">
        <w:rPr>
          <w:rFonts w:ascii="Times New Roman" w:eastAsia="Times New Roman" w:hAnsi="Times New Roman" w:cs="Times New Roman"/>
          <w:sz w:val="24"/>
          <w:szCs w:val="24"/>
          <w:vertAlign w:val="subscript"/>
        </w:rPr>
        <w:t>6</w:t>
      </w:r>
      <w:r w:rsidRPr="007D1775">
        <w:rPr>
          <w:rFonts w:ascii="Times New Roman" w:eastAsia="Times New Roman" w:hAnsi="Times New Roman" w:cs="Times New Roman"/>
          <w:sz w:val="24"/>
          <w:szCs w:val="24"/>
        </w:rPr>
        <w:t>O</w:t>
      </w:r>
      <w:r w:rsidRPr="007D1775">
        <w:rPr>
          <w:rFonts w:ascii="Times New Roman" w:eastAsia="Times New Roman" w:hAnsi="Times New Roman" w:cs="Times New Roman"/>
          <w:sz w:val="24"/>
          <w:szCs w:val="24"/>
          <w:vertAlign w:val="subscript"/>
        </w:rPr>
        <w:t>6</w:t>
      </w:r>
      <w:r w:rsidRPr="007D1775">
        <w:rPr>
          <w:rFonts w:ascii="Times New Roman" w:eastAsia="Times New Roman" w:hAnsi="Times New Roman" w:cs="Times New Roman"/>
          <w:sz w:val="24"/>
          <w:szCs w:val="24"/>
        </w:rPr>
        <w:t>(OH)</w:t>
      </w:r>
      <w:r w:rsidRPr="007D1775">
        <w:rPr>
          <w:rFonts w:ascii="Times New Roman" w:eastAsia="Times New Roman" w:hAnsi="Times New Roman" w:cs="Times New Roman"/>
          <w:sz w:val="24"/>
          <w:szCs w:val="24"/>
          <w:vertAlign w:val="subscript"/>
        </w:rPr>
        <w:t>6</w:t>
      </w:r>
      <w:r w:rsidRPr="007D1775">
        <w:rPr>
          <w:rFonts w:ascii="Times New Roman" w:eastAsia="Times New Roman" w:hAnsi="Times New Roman" w:cs="Times New Roman"/>
          <w:sz w:val="24"/>
          <w:szCs w:val="24"/>
        </w:rPr>
        <w:t xml:space="preserve"> and As</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O</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(OH)</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 xml:space="preserve">, the stable As(III) oligomers </w:t>
      </w:r>
      <w:proofErr w:type="spellStart"/>
      <w:r w:rsidRPr="007D1775">
        <w:rPr>
          <w:rFonts w:ascii="Times New Roman" w:eastAsia="Times New Roman" w:hAnsi="Times New Roman" w:cs="Times New Roman"/>
          <w:sz w:val="24"/>
          <w:szCs w:val="24"/>
        </w:rPr>
        <w:t>Pokrovski</w:t>
      </w:r>
      <w:proofErr w:type="spellEnd"/>
      <w:r w:rsidRPr="007D1775">
        <w:rPr>
          <w:rFonts w:ascii="Times New Roman" w:eastAsia="Times New Roman" w:hAnsi="Times New Roman" w:cs="Times New Roman"/>
          <w:sz w:val="24"/>
          <w:szCs w:val="24"/>
        </w:rPr>
        <w:t xml:space="preserve"> et al 1996, </w:t>
      </w:r>
      <w:proofErr w:type="spellStart"/>
      <w:r w:rsidRPr="007D1775">
        <w:rPr>
          <w:rFonts w:ascii="Times New Roman" w:eastAsia="Times New Roman" w:hAnsi="Times New Roman" w:cs="Times New Roman"/>
          <w:sz w:val="24"/>
          <w:szCs w:val="24"/>
        </w:rPr>
        <w:t>Tossell</w:t>
      </w:r>
      <w:proofErr w:type="spellEnd"/>
      <w:r w:rsidRPr="007D1775">
        <w:rPr>
          <w:rFonts w:ascii="Times New Roman" w:eastAsia="Times New Roman" w:hAnsi="Times New Roman" w:cs="Times New Roman"/>
          <w:sz w:val="24"/>
          <w:szCs w:val="24"/>
        </w:rPr>
        <w:t xml:space="preserve"> 1997. In the presence of high S(−II) concentrations, the dissolved </w:t>
      </w:r>
      <w:proofErr w:type="spellStart"/>
      <w:r w:rsidRPr="007D1775">
        <w:rPr>
          <w:rFonts w:ascii="Times New Roman" w:eastAsia="Times New Roman" w:hAnsi="Times New Roman" w:cs="Times New Roman"/>
          <w:sz w:val="24"/>
          <w:szCs w:val="24"/>
        </w:rPr>
        <w:t>thioarsenite</w:t>
      </w:r>
      <w:proofErr w:type="spellEnd"/>
      <w:r w:rsidRPr="007D1775">
        <w:rPr>
          <w:rFonts w:ascii="Times New Roman" w:eastAsia="Times New Roman" w:hAnsi="Times New Roman" w:cs="Times New Roman"/>
          <w:sz w:val="24"/>
          <w:szCs w:val="24"/>
        </w:rPr>
        <w:t xml:space="preserve"> monomers </w:t>
      </w:r>
    </w:p>
    <w:p w:rsidR="007D1775" w:rsidRPr="007D1775" w:rsidRDefault="007D1775" w:rsidP="007D1775">
      <w:pPr>
        <w:spacing w:after="0"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and AsS</w:t>
      </w:r>
      <w:r w:rsidRPr="007D1775">
        <w:rPr>
          <w:rFonts w:ascii="Times New Roman" w:eastAsia="Times New Roman" w:hAnsi="Times New Roman" w:cs="Times New Roman"/>
          <w:sz w:val="24"/>
          <w:szCs w:val="24"/>
          <w:vertAlign w:val="subscript"/>
        </w:rPr>
        <w:t>2</w:t>
      </w:r>
      <w:r w:rsidRPr="007D1775">
        <w:rPr>
          <w:rFonts w:ascii="Times New Roman" w:eastAsia="Times New Roman" w:hAnsi="Times New Roman" w:cs="Times New Roman"/>
          <w:sz w:val="24"/>
          <w:szCs w:val="24"/>
        </w:rPr>
        <w:t>(SH)</w:t>
      </w:r>
      <w:r w:rsidRPr="007D1775">
        <w:rPr>
          <w:rFonts w:ascii="Times New Roman" w:eastAsia="Times New Roman" w:hAnsi="Times New Roman" w:cs="Times New Roman"/>
          <w:sz w:val="24"/>
          <w:szCs w:val="24"/>
          <w:vertAlign w:val="superscript"/>
        </w:rPr>
        <w:t>2−</w:t>
      </w:r>
      <w:r w:rsidRPr="007D1775">
        <w:rPr>
          <w:rFonts w:ascii="Times New Roman" w:eastAsia="Times New Roman" w:hAnsi="Times New Roman" w:cs="Times New Roman"/>
          <w:sz w:val="24"/>
          <w:szCs w:val="24"/>
        </w:rPr>
        <w:t xml:space="preserve"> and trimer </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may be significant (</w:t>
      </w:r>
      <w:proofErr w:type="spellStart"/>
      <w:r w:rsidRPr="007D1775">
        <w:rPr>
          <w:rFonts w:ascii="Times New Roman" w:eastAsia="Times New Roman" w:hAnsi="Times New Roman" w:cs="Times New Roman"/>
          <w:sz w:val="24"/>
          <w:szCs w:val="24"/>
        </w:rPr>
        <w:t>Helz</w:t>
      </w:r>
      <w:proofErr w:type="spellEnd"/>
      <w:r w:rsidRPr="007D1775">
        <w:rPr>
          <w:rFonts w:ascii="Times New Roman" w:eastAsia="Times New Roman" w:hAnsi="Times New Roman" w:cs="Times New Roman"/>
          <w:sz w:val="24"/>
          <w:szCs w:val="24"/>
        </w:rPr>
        <w:t xml:space="preserve"> et al., 1995). While many of the trace metals form insoluble sulfides in sulfide-rich, reducing environments, arsenic is distinctive because it is relatively soluble at pH values higher than 5.5, making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 mobile over a wide range of redox conditions. Hence, a crucial control on the mobility and immobilization of arsenic is sorption onto particulate phases (</w:t>
      </w:r>
      <w:proofErr w:type="spellStart"/>
      <w:r w:rsidRPr="007D1775">
        <w:rPr>
          <w:rFonts w:ascii="Times New Roman" w:eastAsia="Times New Roman" w:hAnsi="Times New Roman" w:cs="Times New Roman"/>
          <w:sz w:val="24"/>
          <w:szCs w:val="24"/>
        </w:rPr>
        <w:t>Mok</w:t>
      </w:r>
      <w:proofErr w:type="spellEnd"/>
      <w:r w:rsidRPr="007D1775">
        <w:rPr>
          <w:rFonts w:ascii="Times New Roman" w:eastAsia="Times New Roman" w:hAnsi="Times New Roman" w:cs="Times New Roman"/>
          <w:sz w:val="24"/>
          <w:szCs w:val="24"/>
        </w:rPr>
        <w:t xml:space="preserve"> and Wai, 1994). In anoxic sulfidic settings, </w:t>
      </w:r>
      <w:proofErr w:type="gramStart"/>
      <w:r w:rsidRPr="007D1775">
        <w:rPr>
          <w:rFonts w:ascii="Times New Roman" w:eastAsia="Times New Roman" w:hAnsi="Times New Roman" w:cs="Times New Roman"/>
          <w:sz w:val="24"/>
          <w:szCs w:val="24"/>
        </w:rPr>
        <w:t>iron(</w:t>
      </w:r>
      <w:proofErr w:type="gramEnd"/>
      <w:r w:rsidRPr="007D1775">
        <w:rPr>
          <w:rFonts w:ascii="Times New Roman" w:eastAsia="Times New Roman" w:hAnsi="Times New Roman" w:cs="Times New Roman"/>
          <w:sz w:val="24"/>
          <w:szCs w:val="24"/>
        </w:rPr>
        <w:t>II) sulfides are ubiquitous and are likely to play such a crucial role since the geochemical cycling of As in anoxic environments is strongly correlated to the geochemistry of iron sulfide minerals (e.g., Huerta-Diaz and Morse 1992, Morse and Luther 1999).</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Arsenic sorption onto metal oxides has been examined intensively (e.g., Pierce and Moore 1982, </w:t>
      </w:r>
      <w:proofErr w:type="spellStart"/>
      <w:r w:rsidRPr="007D1775">
        <w:rPr>
          <w:rFonts w:ascii="Times New Roman" w:eastAsia="Times New Roman" w:hAnsi="Times New Roman" w:cs="Times New Roman"/>
          <w:sz w:val="24"/>
          <w:szCs w:val="24"/>
        </w:rPr>
        <w:t>Waychunas</w:t>
      </w:r>
      <w:proofErr w:type="spellEnd"/>
      <w:r w:rsidRPr="007D1775">
        <w:rPr>
          <w:rFonts w:ascii="Times New Roman" w:eastAsia="Times New Roman" w:hAnsi="Times New Roman" w:cs="Times New Roman"/>
          <w:sz w:val="24"/>
          <w:szCs w:val="24"/>
        </w:rPr>
        <w:t xml:space="preserve"> et al 1996, </w:t>
      </w:r>
      <w:proofErr w:type="spellStart"/>
      <w:r w:rsidRPr="007D1775">
        <w:rPr>
          <w:rFonts w:ascii="Times New Roman" w:eastAsia="Times New Roman" w:hAnsi="Times New Roman" w:cs="Times New Roman"/>
          <w:sz w:val="24"/>
          <w:szCs w:val="24"/>
        </w:rPr>
        <w:t>Fendorf</w:t>
      </w:r>
      <w:proofErr w:type="spellEnd"/>
      <w:r w:rsidRPr="007D1775">
        <w:rPr>
          <w:rFonts w:ascii="Times New Roman" w:eastAsia="Times New Roman" w:hAnsi="Times New Roman" w:cs="Times New Roman"/>
          <w:sz w:val="24"/>
          <w:szCs w:val="24"/>
        </w:rPr>
        <w:t xml:space="preserve"> et al 1997, </w:t>
      </w:r>
      <w:proofErr w:type="spellStart"/>
      <w:r w:rsidRPr="007D1775">
        <w:rPr>
          <w:rFonts w:ascii="Times New Roman" w:eastAsia="Times New Roman" w:hAnsi="Times New Roman" w:cs="Times New Roman"/>
          <w:sz w:val="24"/>
          <w:szCs w:val="24"/>
        </w:rPr>
        <w:t>Hiemstra</w:t>
      </w:r>
      <w:proofErr w:type="spellEnd"/>
      <w:r w:rsidRPr="007D1775">
        <w:rPr>
          <w:rFonts w:ascii="Times New Roman" w:eastAsia="Times New Roman" w:hAnsi="Times New Roman" w:cs="Times New Roman"/>
          <w:sz w:val="24"/>
          <w:szCs w:val="24"/>
        </w:rPr>
        <w:t xml:space="preserve"> and Van </w:t>
      </w:r>
      <w:proofErr w:type="spellStart"/>
      <w:r w:rsidRPr="007D1775">
        <w:rPr>
          <w:rFonts w:ascii="Times New Roman" w:eastAsia="Times New Roman" w:hAnsi="Times New Roman" w:cs="Times New Roman"/>
          <w:sz w:val="24"/>
          <w:szCs w:val="24"/>
        </w:rPr>
        <w:t>Riemsdijk</w:t>
      </w:r>
      <w:proofErr w:type="spellEnd"/>
      <w:r w:rsidRPr="007D1775">
        <w:rPr>
          <w:rFonts w:ascii="Times New Roman" w:eastAsia="Times New Roman" w:hAnsi="Times New Roman" w:cs="Times New Roman"/>
          <w:sz w:val="24"/>
          <w:szCs w:val="24"/>
        </w:rPr>
        <w:t xml:space="preserve"> 1999, </w:t>
      </w:r>
      <w:proofErr w:type="spellStart"/>
      <w:r w:rsidRPr="007D1775">
        <w:rPr>
          <w:rFonts w:ascii="Times New Roman" w:eastAsia="Times New Roman" w:hAnsi="Times New Roman" w:cs="Times New Roman"/>
          <w:sz w:val="24"/>
          <w:szCs w:val="24"/>
        </w:rPr>
        <w:t>Swedlund</w:t>
      </w:r>
      <w:proofErr w:type="spellEnd"/>
      <w:r w:rsidRPr="007D1775">
        <w:rPr>
          <w:rFonts w:ascii="Times New Roman" w:eastAsia="Times New Roman" w:hAnsi="Times New Roman" w:cs="Times New Roman"/>
          <w:sz w:val="24"/>
          <w:szCs w:val="24"/>
        </w:rPr>
        <w:t xml:space="preserve"> and </w:t>
      </w:r>
      <w:r w:rsidRPr="007D1775">
        <w:rPr>
          <w:rFonts w:ascii="Times New Roman" w:eastAsia="Times New Roman" w:hAnsi="Times New Roman" w:cs="Times New Roman"/>
          <w:sz w:val="24"/>
          <w:szCs w:val="24"/>
        </w:rPr>
        <w:lastRenderedPageBreak/>
        <w:t xml:space="preserve">Webster 1999, Ding et al 2000). Contrastingly, only a few studies on the sorption of arsenic onto </w:t>
      </w:r>
      <w:proofErr w:type="gramStart"/>
      <w:r w:rsidRPr="007D1775">
        <w:rPr>
          <w:rFonts w:ascii="Times New Roman" w:eastAsia="Times New Roman" w:hAnsi="Times New Roman" w:cs="Times New Roman"/>
          <w:sz w:val="24"/>
          <w:szCs w:val="24"/>
        </w:rPr>
        <w:t>Fe(</w:t>
      </w:r>
      <w:proofErr w:type="gramEnd"/>
      <w:r w:rsidRPr="007D1775">
        <w:rPr>
          <w:rFonts w:ascii="Times New Roman" w:eastAsia="Times New Roman" w:hAnsi="Times New Roman" w:cs="Times New Roman"/>
          <w:sz w:val="24"/>
          <w:szCs w:val="24"/>
        </w:rPr>
        <w:t xml:space="preserve">II) sulfides have been reported Farquhar et al 2002, Bostick and </w:t>
      </w:r>
      <w:proofErr w:type="spellStart"/>
      <w:r w:rsidRPr="007D1775">
        <w:rPr>
          <w:rFonts w:ascii="Times New Roman" w:eastAsia="Times New Roman" w:hAnsi="Times New Roman" w:cs="Times New Roman"/>
          <w:sz w:val="24"/>
          <w:szCs w:val="24"/>
        </w:rPr>
        <w:t>Fendorf</w:t>
      </w:r>
      <w:proofErr w:type="spellEnd"/>
      <w:r w:rsidRPr="007D1775">
        <w:rPr>
          <w:rFonts w:ascii="Times New Roman" w:eastAsia="Times New Roman" w:hAnsi="Times New Roman" w:cs="Times New Roman"/>
          <w:sz w:val="24"/>
          <w:szCs w:val="24"/>
        </w:rPr>
        <w:t xml:space="preserve"> 2003. Farquhar et al. (2002) investigated the mechanisms whereby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and As(V) in aqueous solution (pH 5.5–6.5) interact with the surfaces of, among others, crystalline mackinawite (tetragonal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and pyrite (FeS</w:t>
      </w:r>
      <w:r w:rsidRPr="007D1775">
        <w:rPr>
          <w:rFonts w:ascii="Times New Roman" w:eastAsia="Times New Roman" w:hAnsi="Times New Roman" w:cs="Times New Roman"/>
          <w:sz w:val="24"/>
          <w:szCs w:val="24"/>
          <w:vertAlign w:val="subscript"/>
        </w:rPr>
        <w:t>2</w:t>
      </w:r>
      <w:r w:rsidRPr="007D1775">
        <w:rPr>
          <w:rFonts w:ascii="Times New Roman" w:eastAsia="Times New Roman" w:hAnsi="Times New Roman" w:cs="Times New Roman"/>
          <w:sz w:val="24"/>
          <w:szCs w:val="24"/>
        </w:rPr>
        <w:t xml:space="preserve">) using As K-edge X-ray Absorption Spectroscopy (XAS). At low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concentrations, they observed for both As species similar surface complex structures with four oxygen atoms in the first shell and As to sulfur and to iron distances typical of outer-sphere complexation. At higher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concentrations, Farquhar et al. (2002) observed the formation of different surface complexes along with poorly crystalline arsenic sulfide. Bostick and </w:t>
      </w:r>
      <w:proofErr w:type="spellStart"/>
      <w:r w:rsidRPr="007D1775">
        <w:rPr>
          <w:rFonts w:ascii="Times New Roman" w:eastAsia="Times New Roman" w:hAnsi="Times New Roman" w:cs="Times New Roman"/>
          <w:sz w:val="24"/>
          <w:szCs w:val="24"/>
        </w:rPr>
        <w:t>Fendorf</w:t>
      </w:r>
      <w:proofErr w:type="spellEnd"/>
      <w:r w:rsidRPr="007D1775">
        <w:rPr>
          <w:rFonts w:ascii="Times New Roman" w:eastAsia="Times New Roman" w:hAnsi="Times New Roman" w:cs="Times New Roman"/>
          <w:sz w:val="24"/>
          <w:szCs w:val="24"/>
        </w:rPr>
        <w:t xml:space="preserve"> (2003) studied reactions of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with crystalline troilite (hexagonal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and pyrite surfaces. At low pH and at low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concentrations, Langmuir-type isotherms were obtained, suggesting monolayer adsorption, although XAS analyses indicated surface precipitates at all arsenic concentrations. Their XAS data showed a reduction of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III) at the surface of both Fe(II) sulfides, and a structural environment similar to As in arsenopyrite (</w:t>
      </w:r>
      <w:proofErr w:type="spellStart"/>
      <w:r w:rsidRPr="007D1775">
        <w:rPr>
          <w:rFonts w:ascii="Times New Roman" w:eastAsia="Times New Roman" w:hAnsi="Times New Roman" w:cs="Times New Roman"/>
          <w:sz w:val="24"/>
          <w:szCs w:val="24"/>
        </w:rPr>
        <w:t>FeAsS</w:t>
      </w:r>
      <w:proofErr w:type="spellEnd"/>
      <w:r w:rsidRPr="007D1775">
        <w:rPr>
          <w:rFonts w:ascii="Times New Roman" w:eastAsia="Times New Roman" w:hAnsi="Times New Roman" w:cs="Times New Roman"/>
          <w:sz w:val="24"/>
          <w:szCs w:val="24"/>
        </w:rPr>
        <w:t xml:space="preserve">). Although the dominant aqueous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III) in their experiments (pH 3–11) was either the neutral H</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AsO</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vertAlign w:val="superscript"/>
        </w:rPr>
        <w:t>0</w:t>
      </w:r>
      <w:r w:rsidRPr="007D1775">
        <w:rPr>
          <w:rFonts w:ascii="Times New Roman" w:eastAsia="Times New Roman" w:hAnsi="Times New Roman" w:cs="Times New Roman"/>
          <w:sz w:val="24"/>
          <w:szCs w:val="24"/>
        </w:rPr>
        <w:t xml:space="preserve"> or the oxyanion H</w:t>
      </w:r>
      <w:r w:rsidRPr="007D1775">
        <w:rPr>
          <w:rFonts w:ascii="Times New Roman" w:eastAsia="Times New Roman" w:hAnsi="Times New Roman" w:cs="Times New Roman"/>
          <w:sz w:val="24"/>
          <w:szCs w:val="24"/>
          <w:vertAlign w:val="subscript"/>
        </w:rPr>
        <w:t>2</w:t>
      </w:r>
      <w:r w:rsidRPr="007D1775">
        <w:rPr>
          <w:rFonts w:ascii="Times New Roman" w:eastAsia="Times New Roman" w:hAnsi="Times New Roman" w:cs="Times New Roman"/>
          <w:sz w:val="24"/>
          <w:szCs w:val="24"/>
        </w:rPr>
        <w:t>AsO</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vertAlign w:val="superscript"/>
        </w:rPr>
        <w:t>−</w:t>
      </w:r>
      <w:r w:rsidRPr="007D1775">
        <w:rPr>
          <w:rFonts w:ascii="Times New Roman" w:eastAsia="Times New Roman" w:hAnsi="Times New Roman" w:cs="Times New Roman"/>
          <w:sz w:val="24"/>
          <w:szCs w:val="24"/>
        </w:rPr>
        <w:t xml:space="preserve"> (Fig. 1b), they observed an adsorption pH dependence typical of cation sorption (e.g., </w:t>
      </w:r>
      <w:proofErr w:type="spellStart"/>
      <w:r w:rsidRPr="007D1775">
        <w:rPr>
          <w:rFonts w:ascii="Times New Roman" w:eastAsia="Times New Roman" w:hAnsi="Times New Roman" w:cs="Times New Roman"/>
          <w:sz w:val="24"/>
          <w:szCs w:val="24"/>
        </w:rPr>
        <w:t>Stumm</w:t>
      </w:r>
      <w:proofErr w:type="spellEnd"/>
      <w:r w:rsidRPr="007D1775">
        <w:rPr>
          <w:rFonts w:ascii="Times New Roman" w:eastAsia="Times New Roman" w:hAnsi="Times New Roman" w:cs="Times New Roman"/>
          <w:sz w:val="24"/>
          <w:szCs w:val="24"/>
        </w:rPr>
        <w:t xml:space="preserve">, 1991): sorption increased with </w:t>
      </w:r>
      <w:proofErr w:type="spellStart"/>
      <w:r w:rsidRPr="007D1775">
        <w:rPr>
          <w:rFonts w:ascii="Times New Roman" w:eastAsia="Times New Roman" w:hAnsi="Times New Roman" w:cs="Times New Roman"/>
          <w:sz w:val="24"/>
          <w:szCs w:val="24"/>
        </w:rPr>
        <w:t>pH.</w:t>
      </w:r>
      <w:proofErr w:type="spellEnd"/>
      <w:r w:rsidRPr="007D1775">
        <w:rPr>
          <w:rFonts w:ascii="Times New Roman" w:eastAsia="Times New Roman" w:hAnsi="Times New Roman" w:cs="Times New Roman"/>
          <w:sz w:val="24"/>
          <w:szCs w:val="24"/>
        </w:rPr>
        <w:t xml:space="preserve"> They explained this atypical behavior by the formation of </w:t>
      </w:r>
      <w:proofErr w:type="gramStart"/>
      <w:r w:rsidRPr="007D1775">
        <w:rPr>
          <w:rFonts w:ascii="Times New Roman" w:eastAsia="Times New Roman" w:hAnsi="Times New Roman" w:cs="Times New Roman"/>
          <w:sz w:val="24"/>
          <w:szCs w:val="24"/>
        </w:rPr>
        <w:t>Fe(</w:t>
      </w:r>
      <w:proofErr w:type="gramEnd"/>
      <w:r w:rsidRPr="007D1775">
        <w:rPr>
          <w:rFonts w:ascii="Times New Roman" w:eastAsia="Times New Roman" w:hAnsi="Times New Roman" w:cs="Times New Roman"/>
          <w:sz w:val="24"/>
          <w:szCs w:val="24"/>
        </w:rPr>
        <w:t>OH)</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 xml:space="preserve"> associated with </w:t>
      </w:r>
      <w:proofErr w:type="spellStart"/>
      <w:r w:rsidRPr="007D1775">
        <w:rPr>
          <w:rFonts w:ascii="Times New Roman" w:eastAsia="Times New Roman" w:hAnsi="Times New Roman" w:cs="Times New Roman"/>
          <w:sz w:val="24"/>
          <w:szCs w:val="24"/>
        </w:rPr>
        <w:t>FeAsS</w:t>
      </w:r>
      <w:proofErr w:type="spellEnd"/>
      <w:r w:rsidRPr="007D1775">
        <w:rPr>
          <w:rFonts w:ascii="Times New Roman" w:eastAsia="Times New Roman" w:hAnsi="Times New Roman" w:cs="Times New Roman"/>
          <w:sz w:val="24"/>
          <w:szCs w:val="24"/>
        </w:rPr>
        <w:t xml:space="preserve"> precipitation, since the formation of Fe(OH)</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 xml:space="preserve"> is favored with increasing </w:t>
      </w:r>
      <w:proofErr w:type="spellStart"/>
      <w:r w:rsidRPr="007D1775">
        <w:rPr>
          <w:rFonts w:ascii="Times New Roman" w:eastAsia="Times New Roman" w:hAnsi="Times New Roman" w:cs="Times New Roman"/>
          <w:sz w:val="24"/>
          <w:szCs w:val="24"/>
        </w:rPr>
        <w:t>pH.</w:t>
      </w:r>
      <w:proofErr w:type="spellEnd"/>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The crystalline pyrite studied by Farquhar et al. (2002) and Bostick and </w:t>
      </w:r>
      <w:proofErr w:type="spellStart"/>
      <w:r w:rsidRPr="007D1775">
        <w:rPr>
          <w:rFonts w:ascii="Times New Roman" w:eastAsia="Times New Roman" w:hAnsi="Times New Roman" w:cs="Times New Roman"/>
          <w:sz w:val="24"/>
          <w:szCs w:val="24"/>
        </w:rPr>
        <w:t>Fendorf</w:t>
      </w:r>
      <w:proofErr w:type="spellEnd"/>
      <w:r w:rsidRPr="007D1775">
        <w:rPr>
          <w:rFonts w:ascii="Times New Roman" w:eastAsia="Times New Roman" w:hAnsi="Times New Roman" w:cs="Times New Roman"/>
          <w:sz w:val="24"/>
          <w:szCs w:val="24"/>
        </w:rPr>
        <w:t xml:space="preserve"> (2003) may be representative of pyrite in sedimentary environments. In contrast, the crystalline </w:t>
      </w:r>
      <w:proofErr w:type="gramStart"/>
      <w:r w:rsidRPr="007D1775">
        <w:rPr>
          <w:rFonts w:ascii="Times New Roman" w:eastAsia="Times New Roman" w:hAnsi="Times New Roman" w:cs="Times New Roman"/>
          <w:sz w:val="24"/>
          <w:szCs w:val="24"/>
        </w:rPr>
        <w:t>Fe(</w:t>
      </w:r>
      <w:proofErr w:type="gramEnd"/>
      <w:r w:rsidRPr="007D1775">
        <w:rPr>
          <w:rFonts w:ascii="Times New Roman" w:eastAsia="Times New Roman" w:hAnsi="Times New Roman" w:cs="Times New Roman"/>
          <w:sz w:val="24"/>
          <w:szCs w:val="24"/>
        </w:rPr>
        <w:t xml:space="preserve">II) </w:t>
      </w:r>
      <w:proofErr w:type="spellStart"/>
      <w:r w:rsidRPr="007D1775">
        <w:rPr>
          <w:rFonts w:ascii="Times New Roman" w:eastAsia="Times New Roman" w:hAnsi="Times New Roman" w:cs="Times New Roman"/>
          <w:sz w:val="24"/>
          <w:szCs w:val="24"/>
        </w:rPr>
        <w:t>monosulfides</w:t>
      </w:r>
      <w:proofErr w:type="spellEnd"/>
      <w:r w:rsidRPr="007D1775">
        <w:rPr>
          <w:rFonts w:ascii="Times New Roman" w:eastAsia="Times New Roman" w:hAnsi="Times New Roman" w:cs="Times New Roman"/>
          <w:sz w:val="24"/>
          <w:szCs w:val="24"/>
        </w:rPr>
        <w:t xml:space="preserve"> they studied are not representative, with respect to their crystallinity (mackinawite and troilite) and their crystal structure (troilite), of the characteristically fine-grained natural iron </w:t>
      </w:r>
      <w:proofErr w:type="spellStart"/>
      <w:r w:rsidRPr="007D1775">
        <w:rPr>
          <w:rFonts w:ascii="Times New Roman" w:eastAsia="Times New Roman" w:hAnsi="Times New Roman" w:cs="Times New Roman"/>
          <w:sz w:val="24"/>
          <w:szCs w:val="24"/>
        </w:rPr>
        <w:t>monosulfide</w:t>
      </w:r>
      <w:proofErr w:type="spellEnd"/>
      <w:r w:rsidRPr="007D1775">
        <w:rPr>
          <w:rFonts w:ascii="Times New Roman" w:eastAsia="Times New Roman" w:hAnsi="Times New Roman" w:cs="Times New Roman"/>
          <w:sz w:val="24"/>
          <w:szCs w:val="24"/>
        </w:rPr>
        <w:t xml:space="preserve">. Disordered mackinawite, or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is thought to be a major component of the acid volatile sulfide fraction of sediments Berner 1970, </w:t>
      </w:r>
      <w:proofErr w:type="spellStart"/>
      <w:r w:rsidRPr="007D1775">
        <w:rPr>
          <w:rFonts w:ascii="Times New Roman" w:eastAsia="Times New Roman" w:hAnsi="Times New Roman" w:cs="Times New Roman"/>
          <w:sz w:val="24"/>
          <w:szCs w:val="24"/>
        </w:rPr>
        <w:t>Spadini</w:t>
      </w:r>
      <w:proofErr w:type="spellEnd"/>
      <w:r w:rsidRPr="007D1775">
        <w:rPr>
          <w:rFonts w:ascii="Times New Roman" w:eastAsia="Times New Roman" w:hAnsi="Times New Roman" w:cs="Times New Roman"/>
          <w:sz w:val="24"/>
          <w:szCs w:val="24"/>
        </w:rPr>
        <w:t xml:space="preserve"> et al 2003, Morse and Rickard 2004. It is a precursor phase of pyrite, the most stable and ubiquitous authigenic </w:t>
      </w:r>
      <w:proofErr w:type="gramStart"/>
      <w:r w:rsidRPr="007D1775">
        <w:rPr>
          <w:rFonts w:ascii="Times New Roman" w:eastAsia="Times New Roman" w:hAnsi="Times New Roman" w:cs="Times New Roman"/>
          <w:sz w:val="24"/>
          <w:szCs w:val="24"/>
        </w:rPr>
        <w:t>iron(</w:t>
      </w:r>
      <w:proofErr w:type="gramEnd"/>
      <w:r w:rsidRPr="007D1775">
        <w:rPr>
          <w:rFonts w:ascii="Times New Roman" w:eastAsia="Times New Roman" w:hAnsi="Times New Roman" w:cs="Times New Roman"/>
          <w:sz w:val="24"/>
          <w:szCs w:val="24"/>
        </w:rPr>
        <w:t xml:space="preserve">II) sulfide phase. Scavenging of trace elements by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is an important pathway for removal of these elements from solution in anoxic environments </w:t>
      </w:r>
      <w:proofErr w:type="spellStart"/>
      <w:r w:rsidRPr="007D1775">
        <w:rPr>
          <w:rFonts w:ascii="Times New Roman" w:eastAsia="Times New Roman" w:hAnsi="Times New Roman" w:cs="Times New Roman"/>
          <w:sz w:val="24"/>
          <w:szCs w:val="24"/>
        </w:rPr>
        <w:t>Kornicker</w:t>
      </w:r>
      <w:proofErr w:type="spellEnd"/>
      <w:r w:rsidRPr="007D1775">
        <w:rPr>
          <w:rFonts w:ascii="Times New Roman" w:eastAsia="Times New Roman" w:hAnsi="Times New Roman" w:cs="Times New Roman"/>
          <w:sz w:val="24"/>
          <w:szCs w:val="24"/>
        </w:rPr>
        <w:t xml:space="preserve"> 1988, Arakaki and Morse 1993, Morse and Arakaki 1993, Morse and Luther 1999, Wharton et al 2000.</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In this paper, experimentally determined sorption behavior of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onto the surface of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is reported. Synthetic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which was characterized by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2003b,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was used as a model solid for studying the interaction between aqueous arsenic species and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The pH dependence of sorption and the sorption isotherms of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were measured, and the isotherms were described by the Freundlich equation (e.g., </w:t>
      </w:r>
      <w:proofErr w:type="spellStart"/>
      <w:r w:rsidRPr="007D1775">
        <w:rPr>
          <w:rFonts w:ascii="Times New Roman" w:eastAsia="Times New Roman" w:hAnsi="Times New Roman" w:cs="Times New Roman"/>
          <w:sz w:val="24"/>
          <w:szCs w:val="24"/>
        </w:rPr>
        <w:t>Stumm</w:t>
      </w:r>
      <w:proofErr w:type="spellEnd"/>
      <w:r w:rsidRPr="007D1775">
        <w:rPr>
          <w:rFonts w:ascii="Times New Roman" w:eastAsia="Times New Roman" w:hAnsi="Times New Roman" w:cs="Times New Roman"/>
          <w:sz w:val="24"/>
          <w:szCs w:val="24"/>
        </w:rPr>
        <w:t xml:space="preserve">, 1991). The results are interpreted in terms of outer-sphere surface complexation in agreement with Farquhar et al. (2002) and with the model proposed by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Additionally, the structures of the surface complexes and the possible surface precipitates are discussed, and the sorption results are compared with the surface acid-base chemistry model proposed by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Disordered mackinawite refers to the first precipitated </w:t>
      </w:r>
      <w:proofErr w:type="gramStart"/>
      <w:r w:rsidRPr="007D1775">
        <w:rPr>
          <w:rFonts w:ascii="Times New Roman" w:eastAsia="Times New Roman" w:hAnsi="Times New Roman" w:cs="Times New Roman"/>
          <w:sz w:val="24"/>
          <w:szCs w:val="24"/>
        </w:rPr>
        <w:t>iron(</w:t>
      </w:r>
      <w:proofErr w:type="gramEnd"/>
      <w:r w:rsidRPr="007D1775">
        <w:rPr>
          <w:rFonts w:ascii="Times New Roman" w:eastAsia="Times New Roman" w:hAnsi="Times New Roman" w:cs="Times New Roman"/>
          <w:sz w:val="24"/>
          <w:szCs w:val="24"/>
        </w:rPr>
        <w:t xml:space="preserve">II) </w:t>
      </w:r>
      <w:proofErr w:type="spellStart"/>
      <w:r w:rsidRPr="007D1775">
        <w:rPr>
          <w:rFonts w:ascii="Times New Roman" w:eastAsia="Times New Roman" w:hAnsi="Times New Roman" w:cs="Times New Roman"/>
          <w:sz w:val="24"/>
          <w:szCs w:val="24"/>
        </w:rPr>
        <w:t>monosulfide</w:t>
      </w:r>
      <w:proofErr w:type="spellEnd"/>
      <w:r w:rsidRPr="007D1775">
        <w:rPr>
          <w:rFonts w:ascii="Times New Roman" w:eastAsia="Times New Roman" w:hAnsi="Times New Roman" w:cs="Times New Roman"/>
          <w:sz w:val="24"/>
          <w:szCs w:val="24"/>
        </w:rPr>
        <w:t xml:space="preserve"> phase formed through the reaction between aqueous Fe(II) or metallic iron and S(−II) under ambient conditions (cf. Rickard and Luther, 1997). It is nanocrystalline and displays a disordered tetragonal mackinawite structure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2003b). Moreover, it was proposed that the hydrated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surface can be described by strongly acidic mono-coordinated and weakly acidic </w:t>
      </w:r>
      <w:proofErr w:type="spellStart"/>
      <w:r w:rsidRPr="007D1775">
        <w:rPr>
          <w:rFonts w:ascii="Times New Roman" w:eastAsia="Times New Roman" w:hAnsi="Times New Roman" w:cs="Times New Roman"/>
          <w:sz w:val="24"/>
          <w:szCs w:val="24"/>
        </w:rPr>
        <w:t>tricoordinated</w:t>
      </w:r>
      <w:proofErr w:type="spellEnd"/>
      <w:r w:rsidRPr="007D1775">
        <w:rPr>
          <w:rFonts w:ascii="Times New Roman" w:eastAsia="Times New Roman" w:hAnsi="Times New Roman" w:cs="Times New Roman"/>
          <w:sz w:val="24"/>
          <w:szCs w:val="24"/>
        </w:rPr>
        <w:t xml:space="preserve"> sulfur sites as the surface reactive sites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In the latter study, the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solubility in the neutral pH range is described by </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lastRenderedPageBreak/>
        <w:t>. Furthermore, they showed with acid-base titrations that the point of zero charge (</w:t>
      </w:r>
      <w:proofErr w:type="spellStart"/>
      <w:r w:rsidRPr="007D1775">
        <w:rPr>
          <w:rFonts w:ascii="Times New Roman" w:eastAsia="Times New Roman" w:hAnsi="Times New Roman" w:cs="Times New Roman"/>
          <w:sz w:val="24"/>
          <w:szCs w:val="24"/>
        </w:rPr>
        <w:t>pH</w:t>
      </w:r>
      <w:r w:rsidRPr="007D1775">
        <w:rPr>
          <w:rFonts w:ascii="Times New Roman" w:eastAsia="Times New Roman" w:hAnsi="Times New Roman" w:cs="Times New Roman"/>
          <w:sz w:val="24"/>
          <w:szCs w:val="24"/>
          <w:vertAlign w:val="subscript"/>
        </w:rPr>
        <w:t>PZC</w:t>
      </w:r>
      <w:proofErr w:type="spellEnd"/>
      <w:r w:rsidRPr="007D1775">
        <w:rPr>
          <w:rFonts w:ascii="Times New Roman" w:eastAsia="Times New Roman" w:hAnsi="Times New Roman" w:cs="Times New Roman"/>
          <w:sz w:val="24"/>
          <w:szCs w:val="24"/>
        </w:rPr>
        <w:t xml:space="preserve">) of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lies at pH </w:t>
      </w:r>
      <w:r w:rsidRPr="007D1775">
        <w:rPr>
          <w:rFonts w:ascii="Cambria Math" w:eastAsia="Times New Roman" w:hAnsi="Cambria Math" w:cs="Cambria Math"/>
          <w:sz w:val="24"/>
          <w:szCs w:val="24"/>
        </w:rPr>
        <w:t>∼</w:t>
      </w:r>
      <w:r w:rsidRPr="007D1775">
        <w:rPr>
          <w:rFonts w:ascii="Times New Roman" w:eastAsia="Times New Roman" w:hAnsi="Times New Roman" w:cs="Times New Roman"/>
          <w:sz w:val="24"/>
          <w:szCs w:val="24"/>
        </w:rPr>
        <w:t xml:space="preserve">7.5. The mono-coordinated sulfur sites determine the acid-base properties at pH &lt; </w:t>
      </w:r>
      <w:proofErr w:type="spellStart"/>
      <w:r w:rsidRPr="007D1775">
        <w:rPr>
          <w:rFonts w:ascii="Times New Roman" w:eastAsia="Times New Roman" w:hAnsi="Times New Roman" w:cs="Times New Roman"/>
          <w:sz w:val="24"/>
          <w:szCs w:val="24"/>
        </w:rPr>
        <w:t>pH</w:t>
      </w:r>
      <w:r w:rsidRPr="007D1775">
        <w:rPr>
          <w:rFonts w:ascii="Times New Roman" w:eastAsia="Times New Roman" w:hAnsi="Times New Roman" w:cs="Times New Roman"/>
          <w:sz w:val="24"/>
          <w:szCs w:val="24"/>
          <w:vertAlign w:val="subscript"/>
        </w:rPr>
        <w:t>PZC</w:t>
      </w:r>
      <w:proofErr w:type="spellEnd"/>
      <w:r w:rsidRPr="007D1775">
        <w:rPr>
          <w:rFonts w:ascii="Times New Roman" w:eastAsia="Times New Roman" w:hAnsi="Times New Roman" w:cs="Times New Roman"/>
          <w:sz w:val="24"/>
          <w:szCs w:val="24"/>
        </w:rPr>
        <w:t xml:space="preserve"> and have a concentration of </w:t>
      </w:r>
      <w:r w:rsidRPr="007D1775">
        <w:rPr>
          <w:rFonts w:ascii="Cambria Math" w:eastAsia="Times New Roman" w:hAnsi="Cambria Math" w:cs="Cambria Math"/>
          <w:sz w:val="24"/>
          <w:szCs w:val="24"/>
        </w:rPr>
        <w:t>∼</w:t>
      </w:r>
      <w:r w:rsidRPr="007D1775">
        <w:rPr>
          <w:rFonts w:ascii="Times New Roman" w:eastAsia="Times New Roman" w:hAnsi="Times New Roman" w:cs="Times New Roman"/>
          <w:sz w:val="24"/>
          <w:szCs w:val="24"/>
        </w:rPr>
        <w:t>1.2 × 10</w:t>
      </w:r>
      <w:r w:rsidRPr="007D1775">
        <w:rPr>
          <w:rFonts w:ascii="Times New Roman" w:eastAsia="Times New Roman" w:hAnsi="Times New Roman" w:cs="Times New Roman"/>
          <w:sz w:val="24"/>
          <w:szCs w:val="24"/>
          <w:vertAlign w:val="superscript"/>
        </w:rPr>
        <w:t>−3</w:t>
      </w:r>
      <w:r w:rsidRPr="007D1775">
        <w:rPr>
          <w:rFonts w:ascii="Times New Roman" w:eastAsia="Times New Roman" w:hAnsi="Times New Roman" w:cs="Times New Roman"/>
          <w:sz w:val="24"/>
          <w:szCs w:val="24"/>
        </w:rPr>
        <w:t xml:space="preserve"> mol per gram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at higher pH the </w:t>
      </w:r>
      <w:proofErr w:type="spellStart"/>
      <w:r w:rsidRPr="007D1775">
        <w:rPr>
          <w:rFonts w:ascii="Times New Roman" w:eastAsia="Times New Roman" w:hAnsi="Times New Roman" w:cs="Times New Roman"/>
          <w:sz w:val="24"/>
          <w:szCs w:val="24"/>
        </w:rPr>
        <w:t>tricoordinated</w:t>
      </w:r>
      <w:proofErr w:type="spellEnd"/>
      <w:r w:rsidRPr="007D1775">
        <w:rPr>
          <w:rFonts w:ascii="Times New Roman" w:eastAsia="Times New Roman" w:hAnsi="Times New Roman" w:cs="Times New Roman"/>
          <w:sz w:val="24"/>
          <w:szCs w:val="24"/>
        </w:rPr>
        <w:t xml:space="preserve"> sulfur, which has a concentration of </w:t>
      </w:r>
      <w:r w:rsidRPr="007D1775">
        <w:rPr>
          <w:rFonts w:ascii="Cambria Math" w:eastAsia="Times New Roman" w:hAnsi="Cambria Math" w:cs="Cambria Math"/>
          <w:sz w:val="24"/>
          <w:szCs w:val="24"/>
        </w:rPr>
        <w:t>∼</w:t>
      </w:r>
      <w:r w:rsidRPr="007D1775">
        <w:rPr>
          <w:rFonts w:ascii="Times New Roman" w:eastAsia="Times New Roman" w:hAnsi="Times New Roman" w:cs="Times New Roman"/>
          <w:sz w:val="24"/>
          <w:szCs w:val="24"/>
        </w:rPr>
        <w:t>1.2 × 10</w:t>
      </w:r>
      <w:r w:rsidRPr="007D1775">
        <w:rPr>
          <w:rFonts w:ascii="Times New Roman" w:eastAsia="Times New Roman" w:hAnsi="Times New Roman" w:cs="Times New Roman"/>
          <w:sz w:val="24"/>
          <w:szCs w:val="24"/>
          <w:vertAlign w:val="superscript"/>
        </w:rPr>
        <w:t>−3</w:t>
      </w:r>
      <w:r w:rsidRPr="007D1775">
        <w:rPr>
          <w:rFonts w:ascii="Times New Roman" w:eastAsia="Times New Roman" w:hAnsi="Times New Roman" w:cs="Times New Roman"/>
          <w:sz w:val="24"/>
          <w:szCs w:val="24"/>
        </w:rPr>
        <w:t xml:space="preserve"> mol per gram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as well, determines surface charge changes. Total site density is 4.0 sites per nm</w:t>
      </w:r>
      <w:r w:rsidRPr="007D1775">
        <w:rPr>
          <w:rFonts w:ascii="Times New Roman" w:eastAsia="Times New Roman" w:hAnsi="Times New Roman" w:cs="Times New Roman"/>
          <w:sz w:val="24"/>
          <w:szCs w:val="24"/>
          <w:vertAlign w:val="superscript"/>
        </w:rPr>
        <w:t>2</w:t>
      </w:r>
      <w:r w:rsidRPr="007D1775">
        <w:rPr>
          <w:rFonts w:ascii="Times New Roman" w:eastAsia="Times New Roman" w:hAnsi="Times New Roman" w:cs="Times New Roman"/>
          <w:sz w:val="24"/>
          <w:szCs w:val="24"/>
        </w:rPr>
        <w:t xml:space="preserve">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The surface complexation model proposed for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is summarized in Table 1.</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Section snippets</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Materials</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All chemicals were of analytical grade, unless otherwise stated, and used without further purification; solutions were prepared from Milli-Q water and purged for at least 30 min with O</w:t>
      </w:r>
      <w:r w:rsidRPr="007D1775">
        <w:rPr>
          <w:rFonts w:ascii="Times New Roman" w:eastAsia="Times New Roman" w:hAnsi="Times New Roman" w:cs="Times New Roman"/>
          <w:sz w:val="24"/>
          <w:szCs w:val="24"/>
          <w:vertAlign w:val="subscript"/>
        </w:rPr>
        <w:t>2</w:t>
      </w:r>
      <w:r w:rsidRPr="007D1775">
        <w:rPr>
          <w:rFonts w:ascii="Times New Roman" w:eastAsia="Times New Roman" w:hAnsi="Times New Roman" w:cs="Times New Roman"/>
          <w:sz w:val="24"/>
          <w:szCs w:val="24"/>
        </w:rPr>
        <w:t>-free N</w:t>
      </w:r>
      <w:r w:rsidRPr="007D1775">
        <w:rPr>
          <w:rFonts w:ascii="Times New Roman" w:eastAsia="Times New Roman" w:hAnsi="Times New Roman" w:cs="Times New Roman"/>
          <w:sz w:val="24"/>
          <w:szCs w:val="24"/>
          <w:vertAlign w:val="subscript"/>
        </w:rPr>
        <w:t>2</w:t>
      </w:r>
      <w:r w:rsidRPr="007D1775">
        <w:rPr>
          <w:rFonts w:ascii="Times New Roman" w:eastAsia="Times New Roman" w:hAnsi="Times New Roman" w:cs="Times New Roman"/>
          <w:sz w:val="24"/>
          <w:szCs w:val="24"/>
        </w:rPr>
        <w:t xml:space="preserve"> before use. The background ionic medium was either 0.05 M KNO</w:t>
      </w:r>
      <w:r w:rsidRPr="007D1775">
        <w:rPr>
          <w:rFonts w:ascii="Times New Roman" w:eastAsia="Times New Roman" w:hAnsi="Times New Roman" w:cs="Times New Roman"/>
          <w:sz w:val="24"/>
          <w:szCs w:val="24"/>
          <w:vertAlign w:val="subscript"/>
        </w:rPr>
        <w:t>3</w:t>
      </w:r>
      <w:r w:rsidRPr="007D1775">
        <w:rPr>
          <w:rFonts w:ascii="Times New Roman" w:eastAsia="Times New Roman" w:hAnsi="Times New Roman" w:cs="Times New Roman"/>
          <w:sz w:val="24"/>
          <w:szCs w:val="24"/>
        </w:rPr>
        <w:t xml:space="preserve"> (Fisher Chemicals, </w:t>
      </w:r>
      <w:proofErr w:type="spellStart"/>
      <w:r w:rsidRPr="007D1775">
        <w:rPr>
          <w:rFonts w:ascii="Times New Roman" w:eastAsia="Times New Roman" w:hAnsi="Times New Roman" w:cs="Times New Roman"/>
          <w:sz w:val="24"/>
          <w:szCs w:val="24"/>
        </w:rPr>
        <w:t>Landsmeer</w:t>
      </w:r>
      <w:proofErr w:type="spellEnd"/>
      <w:r w:rsidRPr="007D1775">
        <w:rPr>
          <w:rFonts w:ascii="Times New Roman" w:eastAsia="Times New Roman" w:hAnsi="Times New Roman" w:cs="Times New Roman"/>
          <w:sz w:val="24"/>
          <w:szCs w:val="24"/>
        </w:rPr>
        <w:t>, The Netherlands), 3-morpholinopropanesulfonic acid (MOPS, Merck, Haarlem, The Netherlands), or 2-morpholino-ethanesulfonic acid (MES, Merck). Preliminary tests showed unambiguously that there was no significant</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7D1775">
        <w:rPr>
          <w:rFonts w:ascii="Times New Roman" w:eastAsia="Times New Roman" w:hAnsi="Times New Roman" w:cs="Times New Roman"/>
          <w:b/>
          <w:bCs/>
          <w:sz w:val="36"/>
          <w:szCs w:val="36"/>
        </w:rPr>
        <w:t>FeS</w:t>
      </w:r>
      <w:proofErr w:type="spellEnd"/>
      <w:r w:rsidRPr="007D1775">
        <w:rPr>
          <w:rFonts w:ascii="Times New Roman" w:eastAsia="Times New Roman" w:hAnsi="Times New Roman" w:cs="Times New Roman"/>
          <w:b/>
          <w:bCs/>
          <w:sz w:val="36"/>
          <w:szCs w:val="36"/>
        </w:rPr>
        <w:t xml:space="preserve"> Stability</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Figure 2 shows the pH dependence of the total iron concentration measured in the supernatant of the As(V) experiments (Fig. 2a) and the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experiments (Fig. 2b). Also shown in Figure 2a and b is the solubility of disordered mackinawite, </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from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The scatter in the iron data from the sorption experiments is significantly larger than that observed in the study by </w:t>
      </w:r>
      <w:proofErr w:type="spellStart"/>
      <w:r w:rsidRPr="007D1775">
        <w:rPr>
          <w:rFonts w:ascii="Times New Roman" w:eastAsia="Times New Roman" w:hAnsi="Times New Roman" w:cs="Times New Roman"/>
          <w:sz w:val="24"/>
          <w:szCs w:val="24"/>
        </w:rPr>
        <w:t>Wolthers</w:t>
      </w:r>
      <w:proofErr w:type="spellEnd"/>
      <w:r w:rsidRPr="007D1775">
        <w:rPr>
          <w:rFonts w:ascii="Times New Roman" w:eastAsia="Times New Roman" w:hAnsi="Times New Roman" w:cs="Times New Roman"/>
          <w:sz w:val="24"/>
          <w:szCs w:val="24"/>
        </w:rPr>
        <w:t xml:space="preserve"> et al. (2005). Moreover, on average, the iron concentrations in the supernatant </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 xml:space="preserve">pH dependence of </w:t>
      </w:r>
      <w:proofErr w:type="gramStart"/>
      <w:r w:rsidRPr="007D1775">
        <w:rPr>
          <w:rFonts w:ascii="Times New Roman" w:eastAsia="Times New Roman" w:hAnsi="Times New Roman" w:cs="Times New Roman"/>
          <w:b/>
          <w:bCs/>
          <w:sz w:val="36"/>
          <w:szCs w:val="36"/>
        </w:rPr>
        <w:t>As</w:t>
      </w:r>
      <w:proofErr w:type="gramEnd"/>
      <w:r w:rsidRPr="007D1775">
        <w:rPr>
          <w:rFonts w:ascii="Times New Roman" w:eastAsia="Times New Roman" w:hAnsi="Times New Roman" w:cs="Times New Roman"/>
          <w:b/>
          <w:bCs/>
          <w:sz w:val="36"/>
          <w:szCs w:val="36"/>
        </w:rPr>
        <w:t>(V) sorption</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Within the experimental pH range, the dominant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(V) species are the negatively charged </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(Fig. 1a). Generally, sorption of anions is strongest at low pH and gradually decreases as pH increases. For As(V) sorption onto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such an increase in sorption with decreasing pH is observed above </w:t>
      </w:r>
      <w:proofErr w:type="spellStart"/>
      <w:r w:rsidRPr="007D1775">
        <w:rPr>
          <w:rFonts w:ascii="Times New Roman" w:eastAsia="Times New Roman" w:hAnsi="Times New Roman" w:cs="Times New Roman"/>
          <w:sz w:val="24"/>
          <w:szCs w:val="24"/>
        </w:rPr>
        <w:t>pH</w:t>
      </w:r>
      <w:r w:rsidRPr="007D1775">
        <w:rPr>
          <w:rFonts w:ascii="Times New Roman" w:eastAsia="Times New Roman" w:hAnsi="Times New Roman" w:cs="Times New Roman"/>
          <w:sz w:val="24"/>
          <w:szCs w:val="24"/>
          <w:vertAlign w:val="subscript"/>
        </w:rPr>
        <w:t>PZC</w:t>
      </w:r>
      <w:proofErr w:type="spellEnd"/>
      <w:r w:rsidRPr="007D1775">
        <w:rPr>
          <w:rFonts w:ascii="Times New Roman" w:eastAsia="Times New Roman" w:hAnsi="Times New Roman" w:cs="Times New Roman"/>
          <w:sz w:val="24"/>
          <w:szCs w:val="24"/>
        </w:rPr>
        <w:t xml:space="preserve"> (pH 7.2). However, below </w:t>
      </w:r>
      <w:proofErr w:type="spellStart"/>
      <w:r w:rsidRPr="007D1775">
        <w:rPr>
          <w:rFonts w:ascii="Times New Roman" w:eastAsia="Times New Roman" w:hAnsi="Times New Roman" w:cs="Times New Roman"/>
          <w:sz w:val="24"/>
          <w:szCs w:val="24"/>
        </w:rPr>
        <w:t>pH</w:t>
      </w:r>
      <w:r w:rsidRPr="007D1775">
        <w:rPr>
          <w:rFonts w:ascii="Times New Roman" w:eastAsia="Times New Roman" w:hAnsi="Times New Roman" w:cs="Times New Roman"/>
          <w:sz w:val="24"/>
          <w:szCs w:val="24"/>
          <w:vertAlign w:val="subscript"/>
        </w:rPr>
        <w:t>PZC</w:t>
      </w:r>
      <w:proofErr w:type="spellEnd"/>
      <w:r w:rsidRPr="007D1775">
        <w:rPr>
          <w:rFonts w:ascii="Times New Roman" w:eastAsia="Times New Roman" w:hAnsi="Times New Roman" w:cs="Times New Roman"/>
          <w:sz w:val="24"/>
          <w:szCs w:val="24"/>
        </w:rPr>
        <w:t xml:space="preserve">, a decrease in sorption with pH is observed and coincides with an increase in dissolved iron concentration. The solubility of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increases rapidly with</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t>Implications</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Sorption slows down the transport of a dissolved substance compared to the water flow (</w:t>
      </w:r>
      <w:proofErr w:type="spellStart"/>
      <w:r w:rsidRPr="007D1775">
        <w:rPr>
          <w:rFonts w:ascii="Times New Roman" w:eastAsia="Times New Roman" w:hAnsi="Times New Roman" w:cs="Times New Roman"/>
          <w:sz w:val="24"/>
          <w:szCs w:val="24"/>
        </w:rPr>
        <w:t>Appelo</w:t>
      </w:r>
      <w:proofErr w:type="spellEnd"/>
      <w:r w:rsidRPr="007D1775">
        <w:rPr>
          <w:rFonts w:ascii="Times New Roman" w:eastAsia="Times New Roman" w:hAnsi="Times New Roman" w:cs="Times New Roman"/>
          <w:sz w:val="24"/>
          <w:szCs w:val="24"/>
        </w:rPr>
        <w:t xml:space="preserve"> and Postma, 1994), and thus is a controlling factor in the mobility and immobilization of chemicals. In the case of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 sorption onto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its Freundlich isotherms are straightforward relations and define a linear retardation factor. As(V) partitions more strongly with </w:t>
      </w:r>
      <w:proofErr w:type="spellStart"/>
      <w:r w:rsidRPr="007D1775">
        <w:rPr>
          <w:rFonts w:ascii="Times New Roman" w:eastAsia="Times New Roman" w:hAnsi="Times New Roman" w:cs="Times New Roman"/>
          <w:sz w:val="24"/>
          <w:szCs w:val="24"/>
        </w:rPr>
        <w:t>FeS</w:t>
      </w:r>
      <w:proofErr w:type="spellEnd"/>
      <w:r w:rsidRPr="007D1775">
        <w:rPr>
          <w:rFonts w:ascii="Times New Roman" w:eastAsia="Times New Roman" w:hAnsi="Times New Roman" w:cs="Times New Roman"/>
          <w:sz w:val="24"/>
          <w:szCs w:val="24"/>
        </w:rPr>
        <w:t xml:space="preserve"> than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 xml:space="preserve">III). It follows from their different sorption behavior that As(V) and </w:t>
      </w:r>
      <w:proofErr w:type="gramStart"/>
      <w:r w:rsidRPr="007D1775">
        <w:rPr>
          <w:rFonts w:ascii="Times New Roman" w:eastAsia="Times New Roman" w:hAnsi="Times New Roman" w:cs="Times New Roman"/>
          <w:sz w:val="24"/>
          <w:szCs w:val="24"/>
        </w:rPr>
        <w:t>As(</w:t>
      </w:r>
      <w:proofErr w:type="gramEnd"/>
      <w:r w:rsidRPr="007D1775">
        <w:rPr>
          <w:rFonts w:ascii="Times New Roman" w:eastAsia="Times New Roman" w:hAnsi="Times New Roman" w:cs="Times New Roman"/>
          <w:sz w:val="24"/>
          <w:szCs w:val="24"/>
        </w:rPr>
        <w:t>III) will show differential mobility and will</w:t>
      </w:r>
    </w:p>
    <w:p w:rsidR="007D1775" w:rsidRPr="007D1775" w:rsidRDefault="007D1775" w:rsidP="007D1775">
      <w:pPr>
        <w:spacing w:before="100" w:beforeAutospacing="1" w:after="100" w:afterAutospacing="1" w:line="240" w:lineRule="auto"/>
        <w:outlineLvl w:val="1"/>
        <w:rPr>
          <w:rFonts w:ascii="Times New Roman" w:eastAsia="Times New Roman" w:hAnsi="Times New Roman" w:cs="Times New Roman"/>
          <w:b/>
          <w:bCs/>
          <w:sz w:val="36"/>
          <w:szCs w:val="36"/>
        </w:rPr>
      </w:pPr>
      <w:r w:rsidRPr="007D1775">
        <w:rPr>
          <w:rFonts w:ascii="Times New Roman" w:eastAsia="Times New Roman" w:hAnsi="Times New Roman" w:cs="Times New Roman"/>
          <w:b/>
          <w:bCs/>
          <w:sz w:val="36"/>
          <w:szCs w:val="36"/>
        </w:rPr>
        <w:lastRenderedPageBreak/>
        <w:t>Acknowledgments</w:t>
      </w:r>
    </w:p>
    <w:p w:rsidR="007D1775" w:rsidRPr="007D1775" w:rsidRDefault="007D1775" w:rsidP="007D1775">
      <w:pPr>
        <w:spacing w:before="100" w:beforeAutospacing="1" w:after="100" w:afterAutospacing="1" w:line="240" w:lineRule="auto"/>
        <w:rPr>
          <w:rFonts w:ascii="Times New Roman" w:eastAsia="Times New Roman" w:hAnsi="Times New Roman" w:cs="Times New Roman"/>
          <w:sz w:val="24"/>
          <w:szCs w:val="24"/>
        </w:rPr>
      </w:pPr>
      <w:r w:rsidRPr="007D1775">
        <w:rPr>
          <w:rFonts w:ascii="Times New Roman" w:eastAsia="Times New Roman" w:hAnsi="Times New Roman" w:cs="Times New Roman"/>
          <w:sz w:val="24"/>
          <w:szCs w:val="24"/>
        </w:rPr>
        <w:t xml:space="preserve">Philippe Van </w:t>
      </w:r>
      <w:proofErr w:type="spellStart"/>
      <w:r w:rsidRPr="007D1775">
        <w:rPr>
          <w:rFonts w:ascii="Times New Roman" w:eastAsia="Times New Roman" w:hAnsi="Times New Roman" w:cs="Times New Roman"/>
          <w:sz w:val="24"/>
          <w:szCs w:val="24"/>
        </w:rPr>
        <w:t>Cappellen</w:t>
      </w:r>
      <w:proofErr w:type="spellEnd"/>
      <w:r w:rsidRPr="007D1775">
        <w:rPr>
          <w:rFonts w:ascii="Times New Roman" w:eastAsia="Times New Roman" w:hAnsi="Times New Roman" w:cs="Times New Roman"/>
          <w:sz w:val="24"/>
          <w:szCs w:val="24"/>
        </w:rPr>
        <w:t xml:space="preserve"> (Utrecht University) is gratefully acknowledged for insightful discussions over the course of this study. Lorenzo </w:t>
      </w:r>
      <w:proofErr w:type="spellStart"/>
      <w:r w:rsidRPr="007D1775">
        <w:rPr>
          <w:rFonts w:ascii="Times New Roman" w:eastAsia="Times New Roman" w:hAnsi="Times New Roman" w:cs="Times New Roman"/>
          <w:sz w:val="24"/>
          <w:szCs w:val="24"/>
        </w:rPr>
        <w:t>Spadini</w:t>
      </w:r>
      <w:proofErr w:type="spellEnd"/>
      <w:r w:rsidRPr="007D1775">
        <w:rPr>
          <w:rFonts w:ascii="Times New Roman" w:eastAsia="Times New Roman" w:hAnsi="Times New Roman" w:cs="Times New Roman"/>
          <w:sz w:val="24"/>
          <w:szCs w:val="24"/>
        </w:rPr>
        <w:t xml:space="preserve"> (Grenoble University) contributed to the discussion on the structural aspects of sorption. We also thank two anonymous reviewers and the associate editor Professor D. Vaughan for their comments, which helped to significantly improve the manuscript. This research was financially supported by the Netherlands Organization of Scientific Research (NWO/ALW</w:t>
      </w:r>
    </w:p>
    <w:p w:rsidR="00816F41" w:rsidRDefault="00816F41"/>
    <w:sectPr w:rsidR="00816F4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775"/>
    <w:rsid w:val="007D1775"/>
    <w:rsid w:val="00816F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0708C"/>
  <w15:chartTrackingRefBased/>
  <w15:docId w15:val="{1B36668B-B043-4849-A9EA-88B9AA73C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3360049">
      <w:bodyDiv w:val="1"/>
      <w:marLeft w:val="0"/>
      <w:marRight w:val="0"/>
      <w:marTop w:val="0"/>
      <w:marBottom w:val="0"/>
      <w:divBdr>
        <w:top w:val="none" w:sz="0" w:space="0" w:color="auto"/>
        <w:left w:val="none" w:sz="0" w:space="0" w:color="auto"/>
        <w:bottom w:val="none" w:sz="0" w:space="0" w:color="auto"/>
        <w:right w:val="none" w:sz="0" w:space="0" w:color="auto"/>
      </w:divBdr>
      <w:divsChild>
        <w:div w:id="579296918">
          <w:marLeft w:val="0"/>
          <w:marRight w:val="0"/>
          <w:marTop w:val="0"/>
          <w:marBottom w:val="0"/>
          <w:divBdr>
            <w:top w:val="none" w:sz="0" w:space="0" w:color="auto"/>
            <w:left w:val="none" w:sz="0" w:space="0" w:color="auto"/>
            <w:bottom w:val="none" w:sz="0" w:space="0" w:color="auto"/>
            <w:right w:val="none" w:sz="0" w:space="0" w:color="auto"/>
          </w:divBdr>
          <w:divsChild>
            <w:div w:id="1782457407">
              <w:marLeft w:val="0"/>
              <w:marRight w:val="0"/>
              <w:marTop w:val="0"/>
              <w:marBottom w:val="0"/>
              <w:divBdr>
                <w:top w:val="none" w:sz="0" w:space="0" w:color="auto"/>
                <w:left w:val="none" w:sz="0" w:space="0" w:color="auto"/>
                <w:bottom w:val="none" w:sz="0" w:space="0" w:color="auto"/>
                <w:right w:val="none" w:sz="0" w:space="0" w:color="auto"/>
              </w:divBdr>
              <w:divsChild>
                <w:div w:id="1662193514">
                  <w:marLeft w:val="0"/>
                  <w:marRight w:val="0"/>
                  <w:marTop w:val="0"/>
                  <w:marBottom w:val="0"/>
                  <w:divBdr>
                    <w:top w:val="none" w:sz="0" w:space="0" w:color="auto"/>
                    <w:left w:val="none" w:sz="0" w:space="0" w:color="auto"/>
                    <w:bottom w:val="none" w:sz="0" w:space="0" w:color="auto"/>
                    <w:right w:val="none" w:sz="0" w:space="0" w:color="auto"/>
                  </w:divBdr>
                  <w:divsChild>
                    <w:div w:id="166659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082976">
          <w:marLeft w:val="0"/>
          <w:marRight w:val="0"/>
          <w:marTop w:val="0"/>
          <w:marBottom w:val="0"/>
          <w:divBdr>
            <w:top w:val="none" w:sz="0" w:space="0" w:color="auto"/>
            <w:left w:val="none" w:sz="0" w:space="0" w:color="auto"/>
            <w:bottom w:val="none" w:sz="0" w:space="0" w:color="auto"/>
            <w:right w:val="none" w:sz="0" w:space="0" w:color="auto"/>
          </w:divBdr>
          <w:divsChild>
            <w:div w:id="1069814329">
              <w:marLeft w:val="0"/>
              <w:marRight w:val="0"/>
              <w:marTop w:val="0"/>
              <w:marBottom w:val="0"/>
              <w:divBdr>
                <w:top w:val="none" w:sz="0" w:space="0" w:color="auto"/>
                <w:left w:val="none" w:sz="0" w:space="0" w:color="auto"/>
                <w:bottom w:val="none" w:sz="0" w:space="0" w:color="auto"/>
                <w:right w:val="none" w:sz="0" w:space="0" w:color="auto"/>
              </w:divBdr>
              <w:divsChild>
                <w:div w:id="159781527">
                  <w:marLeft w:val="0"/>
                  <w:marRight w:val="0"/>
                  <w:marTop w:val="0"/>
                  <w:marBottom w:val="0"/>
                  <w:divBdr>
                    <w:top w:val="none" w:sz="0" w:space="0" w:color="auto"/>
                    <w:left w:val="none" w:sz="0" w:space="0" w:color="auto"/>
                    <w:bottom w:val="none" w:sz="0" w:space="0" w:color="auto"/>
                    <w:right w:val="none" w:sz="0" w:space="0" w:color="auto"/>
                  </w:divBdr>
                  <w:divsChild>
                    <w:div w:id="111879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473978">
          <w:marLeft w:val="0"/>
          <w:marRight w:val="0"/>
          <w:marTop w:val="0"/>
          <w:marBottom w:val="0"/>
          <w:divBdr>
            <w:top w:val="none" w:sz="0" w:space="0" w:color="auto"/>
            <w:left w:val="none" w:sz="0" w:space="0" w:color="auto"/>
            <w:bottom w:val="none" w:sz="0" w:space="0" w:color="auto"/>
            <w:right w:val="none" w:sz="0" w:space="0" w:color="auto"/>
          </w:divBdr>
          <w:divsChild>
            <w:div w:id="1131943552">
              <w:marLeft w:val="0"/>
              <w:marRight w:val="0"/>
              <w:marTop w:val="0"/>
              <w:marBottom w:val="0"/>
              <w:divBdr>
                <w:top w:val="none" w:sz="0" w:space="0" w:color="auto"/>
                <w:left w:val="none" w:sz="0" w:space="0" w:color="auto"/>
                <w:bottom w:val="none" w:sz="0" w:space="0" w:color="auto"/>
                <w:right w:val="none" w:sz="0" w:space="0" w:color="auto"/>
              </w:divBdr>
            </w:div>
          </w:divsChild>
        </w:div>
        <w:div w:id="232198686">
          <w:marLeft w:val="0"/>
          <w:marRight w:val="0"/>
          <w:marTop w:val="0"/>
          <w:marBottom w:val="0"/>
          <w:divBdr>
            <w:top w:val="none" w:sz="0" w:space="0" w:color="auto"/>
            <w:left w:val="none" w:sz="0" w:space="0" w:color="auto"/>
            <w:bottom w:val="none" w:sz="0" w:space="0" w:color="auto"/>
            <w:right w:val="none" w:sz="0" w:space="0" w:color="auto"/>
          </w:divBdr>
          <w:divsChild>
            <w:div w:id="2052218143">
              <w:marLeft w:val="0"/>
              <w:marRight w:val="0"/>
              <w:marTop w:val="0"/>
              <w:marBottom w:val="0"/>
              <w:divBdr>
                <w:top w:val="none" w:sz="0" w:space="0" w:color="auto"/>
                <w:left w:val="none" w:sz="0" w:space="0" w:color="auto"/>
                <w:bottom w:val="none" w:sz="0" w:space="0" w:color="auto"/>
                <w:right w:val="none" w:sz="0" w:space="0" w:color="auto"/>
              </w:divBdr>
            </w:div>
          </w:divsChild>
        </w:div>
        <w:div w:id="1074742841">
          <w:marLeft w:val="0"/>
          <w:marRight w:val="0"/>
          <w:marTop w:val="0"/>
          <w:marBottom w:val="0"/>
          <w:divBdr>
            <w:top w:val="none" w:sz="0" w:space="0" w:color="auto"/>
            <w:left w:val="none" w:sz="0" w:space="0" w:color="auto"/>
            <w:bottom w:val="none" w:sz="0" w:space="0" w:color="auto"/>
            <w:right w:val="none" w:sz="0" w:space="0" w:color="auto"/>
          </w:divBdr>
          <w:divsChild>
            <w:div w:id="54914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arsen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ackinawite" TargetMode="External"/><Relationship Id="rId5" Type="http://schemas.openxmlformats.org/officeDocument/2006/relationships/hyperlink" Target="https://www.sciencedirect.com/topics/earth-and-planetary-sciences/sorption" TargetMode="External"/><Relationship Id="rId4" Type="http://schemas.openxmlformats.org/officeDocument/2006/relationships/hyperlink" Target="https://doi.org/10.1016/j.gca.2005.03.003"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1612</Words>
  <Characters>9191</Characters>
  <Application>Microsoft Office Word</Application>
  <DocSecurity>0</DocSecurity>
  <Lines>76</Lines>
  <Paragraphs>21</Paragraphs>
  <ScaleCrop>false</ScaleCrop>
  <Company/>
  <LinksUpToDate>false</LinksUpToDate>
  <CharactersWithSpaces>10782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2023-11-18T07:24:00Z</dcterms:created>
  <dcterms:modified xsi:type="dcterms:W3CDTF">2023-11-18T07:24:00Z</dcterms:modified>
</cp:coreProperties>
</file>