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609AC" w:rsidRPr="00F609AC" w:rsidRDefault="00F609AC" w:rsidP="00F609AC">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F609AC">
        <w:rPr>
          <w:rFonts w:ascii="Times New Roman" w:eastAsia="Times New Roman" w:hAnsi="Times New Roman" w:cs="Times New Roman"/>
          <w:b/>
          <w:bCs/>
          <w:kern w:val="36"/>
          <w:sz w:val="48"/>
          <w:szCs w:val="48"/>
        </w:rPr>
        <w:t xml:space="preserve">Tellurium isotopic composition of the early solar system—A search for effects resulting from stellar nucleosynthesis, </w:t>
      </w:r>
      <w:r w:rsidRPr="00F609AC">
        <w:rPr>
          <w:rFonts w:ascii="Times New Roman" w:eastAsia="Times New Roman" w:hAnsi="Times New Roman" w:cs="Times New Roman"/>
          <w:b/>
          <w:bCs/>
          <w:kern w:val="36"/>
          <w:sz w:val="48"/>
          <w:szCs w:val="48"/>
          <w:vertAlign w:val="superscript"/>
        </w:rPr>
        <w:t>126</w:t>
      </w:r>
      <w:r w:rsidRPr="00F609AC">
        <w:rPr>
          <w:rFonts w:ascii="Times New Roman" w:eastAsia="Times New Roman" w:hAnsi="Times New Roman" w:cs="Times New Roman"/>
          <w:b/>
          <w:bCs/>
          <w:kern w:val="36"/>
          <w:sz w:val="48"/>
          <w:szCs w:val="48"/>
        </w:rPr>
        <w:t>Sn decay, and mass-independent fractionation</w:t>
      </w:r>
    </w:p>
    <w:p w:rsidR="00F609AC" w:rsidRPr="00F609AC" w:rsidRDefault="00F609AC" w:rsidP="00F609AC">
      <w:pPr>
        <w:spacing w:after="0"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Author links open overlay panel</w:t>
      </w:r>
    </w:p>
    <w:p w:rsidR="00F609AC" w:rsidRPr="00F609AC" w:rsidRDefault="00F609AC" w:rsidP="00F609AC">
      <w:pPr>
        <w:spacing w:after="0"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 , , , , , , , </w:t>
      </w:r>
    </w:p>
    <w:p w:rsidR="00F609AC" w:rsidRPr="00F609AC" w:rsidRDefault="00F609AC" w:rsidP="00F609AC">
      <w:pPr>
        <w:spacing w:after="0" w:line="240" w:lineRule="auto"/>
        <w:rPr>
          <w:rFonts w:ascii="Times New Roman" w:eastAsia="Times New Roman" w:hAnsi="Times New Roman" w:cs="Times New Roman"/>
          <w:sz w:val="24"/>
          <w:szCs w:val="24"/>
        </w:rPr>
      </w:pPr>
      <w:hyperlink r:id="rId5" w:tgtFrame="_blank" w:tooltip="Persistent link using digital object identifier" w:history="1">
        <w:r w:rsidRPr="00F609AC">
          <w:rPr>
            <w:rFonts w:ascii="Times New Roman" w:eastAsia="Times New Roman" w:hAnsi="Times New Roman" w:cs="Times New Roman"/>
            <w:color w:val="0000FF"/>
            <w:sz w:val="24"/>
            <w:szCs w:val="24"/>
            <w:u w:val="single"/>
          </w:rPr>
          <w:t>https://doi.org/10.1016/j.gca.2005.04.020</w:t>
        </w:r>
      </w:hyperlink>
      <w:bookmarkStart w:id="0" w:name="_GoBack"/>
      <w:bookmarkEnd w:id="0"/>
      <w:r w:rsidRPr="00F609AC">
        <w:rPr>
          <w:rFonts w:ascii="Times New Roman" w:eastAsia="Times New Roman" w:hAnsi="Times New Roman" w:cs="Times New Roman"/>
          <w:sz w:val="24"/>
          <w:szCs w:val="24"/>
        </w:rPr>
        <w:t xml:space="preserve"> </w:t>
      </w:r>
    </w:p>
    <w:p w:rsidR="00F609AC" w:rsidRPr="00F609AC" w:rsidRDefault="00F609AC" w:rsidP="00F609AC">
      <w:pPr>
        <w:spacing w:before="100" w:beforeAutospacing="1" w:after="100" w:afterAutospacing="1" w:line="240" w:lineRule="auto"/>
        <w:outlineLvl w:val="1"/>
        <w:rPr>
          <w:rFonts w:ascii="Times New Roman" w:eastAsia="Times New Roman" w:hAnsi="Times New Roman" w:cs="Times New Roman"/>
          <w:b/>
          <w:bCs/>
          <w:sz w:val="36"/>
          <w:szCs w:val="36"/>
        </w:rPr>
      </w:pPr>
      <w:r w:rsidRPr="00F609AC">
        <w:rPr>
          <w:rFonts w:ascii="Times New Roman" w:eastAsia="Times New Roman" w:hAnsi="Times New Roman" w:cs="Times New Roman"/>
          <w:b/>
          <w:bCs/>
          <w:sz w:val="36"/>
          <w:szCs w:val="36"/>
        </w:rPr>
        <w:t>Abstract</w:t>
      </w:r>
    </w:p>
    <w:p w:rsidR="00F609AC" w:rsidRPr="00F609AC" w:rsidRDefault="00F609AC" w:rsidP="00F609AC">
      <w:p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New precise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 data acquired by multiple collector </w:t>
      </w:r>
      <w:hyperlink r:id="rId6" w:tooltip="Learn more about inductively coupled plasma mass spectrometry from ScienceDirect's AI-generated Topic Pages" w:history="1">
        <w:r w:rsidRPr="00F609AC">
          <w:rPr>
            <w:rFonts w:ascii="Times New Roman" w:eastAsia="Times New Roman" w:hAnsi="Times New Roman" w:cs="Times New Roman"/>
            <w:color w:val="0000FF"/>
            <w:sz w:val="24"/>
            <w:szCs w:val="24"/>
            <w:u w:val="single"/>
          </w:rPr>
          <w:t>inductively coupled plasma mass spectrometry</w:t>
        </w:r>
      </w:hyperlink>
      <w:r w:rsidRPr="00F609AC">
        <w:rPr>
          <w:rFonts w:ascii="Times New Roman" w:eastAsia="Times New Roman" w:hAnsi="Times New Roman" w:cs="Times New Roman"/>
          <w:sz w:val="24"/>
          <w:szCs w:val="24"/>
        </w:rPr>
        <w:t xml:space="preserve"> (MC-ICPMS) are presented for selected extraterrestrial and terrestrial materials. Bulk samples of carbonaceous, ordinary and enstatite chondrites as well as the metal and sulfide phases of </w:t>
      </w:r>
      <w:hyperlink r:id="rId7" w:tooltip="Learn more about iron meteorites from ScienceDirect's AI-generated Topic Pages" w:history="1">
        <w:r w:rsidRPr="00F609AC">
          <w:rPr>
            <w:rFonts w:ascii="Times New Roman" w:eastAsia="Times New Roman" w:hAnsi="Times New Roman" w:cs="Times New Roman"/>
            <w:color w:val="0000FF"/>
            <w:sz w:val="24"/>
            <w:szCs w:val="24"/>
            <w:u w:val="single"/>
          </w:rPr>
          <w:t>iron meteorites</w:t>
        </w:r>
      </w:hyperlink>
      <w:r w:rsidRPr="00F609AC">
        <w:rPr>
          <w:rFonts w:ascii="Times New Roman" w:eastAsia="Times New Roman" w:hAnsi="Times New Roman" w:cs="Times New Roman"/>
          <w:sz w:val="24"/>
          <w:szCs w:val="24"/>
        </w:rPr>
        <w:t xml:space="preserve"> were analyzed to search for nucleosynthetic isotope anomalies and to find evidence of formerly live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 xml:space="preserve">Sn, which decays to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 xml:space="preserve">Te with a half-life of 234,500 yr. None of the meteorites show evidence of mass dependent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 fractionations larger than 2‰ for δ</w:t>
      </w:r>
      <w:r w:rsidRPr="00F609AC">
        <w:rPr>
          <w:rFonts w:ascii="Times New Roman" w:eastAsia="Times New Roman" w:hAnsi="Times New Roman" w:cs="Times New Roman"/>
          <w:sz w:val="24"/>
          <w:szCs w:val="24"/>
          <w:vertAlign w:val="superscript"/>
        </w:rPr>
        <w:t>126/128</w:t>
      </w:r>
      <w:r w:rsidRPr="00F609AC">
        <w:rPr>
          <w:rFonts w:ascii="Times New Roman" w:eastAsia="Times New Roman" w:hAnsi="Times New Roman" w:cs="Times New Roman"/>
          <w:sz w:val="24"/>
          <w:szCs w:val="24"/>
        </w:rPr>
        <w:t xml:space="preserve">Te. Following internal normalization of the data to </w:t>
      </w:r>
      <w:r w:rsidRPr="00F609AC">
        <w:rPr>
          <w:rFonts w:ascii="Times New Roman" w:eastAsia="Times New Roman" w:hAnsi="Times New Roman" w:cs="Times New Roman"/>
          <w:sz w:val="24"/>
          <w:szCs w:val="24"/>
          <w:vertAlign w:val="superscript"/>
        </w:rPr>
        <w:t>125</w:t>
      </w:r>
      <w:r w:rsidRPr="00F609AC">
        <w:rPr>
          <w:rFonts w:ascii="Times New Roman" w:eastAsia="Times New Roman" w:hAnsi="Times New Roman" w:cs="Times New Roman"/>
          <w:sz w:val="24"/>
          <w:szCs w:val="24"/>
        </w:rPr>
        <w:t>Te/</w:t>
      </w:r>
      <w:r w:rsidRPr="00F609AC">
        <w:rPr>
          <w:rFonts w:ascii="Times New Roman" w:eastAsia="Times New Roman" w:hAnsi="Times New Roman" w:cs="Times New Roman"/>
          <w:sz w:val="24"/>
          <w:szCs w:val="24"/>
          <w:vertAlign w:val="superscript"/>
        </w:rPr>
        <w:t>128</w:t>
      </w:r>
      <w:r w:rsidRPr="00F609AC">
        <w:rPr>
          <w:rFonts w:ascii="Times New Roman" w:eastAsia="Times New Roman" w:hAnsi="Times New Roman" w:cs="Times New Roman"/>
          <w:sz w:val="24"/>
          <w:szCs w:val="24"/>
        </w:rPr>
        <w:t xml:space="preserve">Te, the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w:t>
      </w:r>
      <w:hyperlink r:id="rId8" w:tooltip="Learn more about isotope ratios from ScienceDirect's AI-generated Topic Pages" w:history="1">
        <w:r w:rsidRPr="00F609AC">
          <w:rPr>
            <w:rFonts w:ascii="Times New Roman" w:eastAsia="Times New Roman" w:hAnsi="Times New Roman" w:cs="Times New Roman"/>
            <w:color w:val="0000FF"/>
            <w:sz w:val="24"/>
            <w:szCs w:val="24"/>
            <w:u w:val="single"/>
          </w:rPr>
          <w:t>isotope ratios</w:t>
        </w:r>
      </w:hyperlink>
      <w:r w:rsidRPr="00F609AC">
        <w:rPr>
          <w:rFonts w:ascii="Times New Roman" w:eastAsia="Times New Roman" w:hAnsi="Times New Roman" w:cs="Times New Roman"/>
          <w:sz w:val="24"/>
          <w:szCs w:val="24"/>
        </w:rPr>
        <w:t xml:space="preserve"> of all analyzed meteorites were found to be identical to a terrestrial standard, within uncertainties. This provides evidence that the regions of the solar disk that were sampled during accretion of the </w:t>
      </w:r>
      <w:hyperlink r:id="rId9" w:tooltip="Learn more about meteorite parent bodies from ScienceDirect's AI-generated Topic Pages" w:history="1">
        <w:r w:rsidRPr="00F609AC">
          <w:rPr>
            <w:rFonts w:ascii="Times New Roman" w:eastAsia="Times New Roman" w:hAnsi="Times New Roman" w:cs="Times New Roman"/>
            <w:color w:val="0000FF"/>
            <w:sz w:val="24"/>
            <w:szCs w:val="24"/>
            <w:u w:val="single"/>
          </w:rPr>
          <w:t>meteorite parent bodies</w:t>
        </w:r>
      </w:hyperlink>
      <w:r w:rsidRPr="00F609AC">
        <w:rPr>
          <w:rFonts w:ascii="Times New Roman" w:eastAsia="Times New Roman" w:hAnsi="Times New Roman" w:cs="Times New Roman"/>
          <w:sz w:val="24"/>
          <w:szCs w:val="24"/>
        </w:rPr>
        <w:t xml:space="preserve"> were well mixed and homogeneous on a large scale, with respect to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isotopes. The data acquired for bulk </w:t>
      </w:r>
      <w:hyperlink r:id="rId10" w:tooltip="Learn more about carbonaceous chondrites from ScienceDirect's AI-generated Topic Pages" w:history="1">
        <w:r w:rsidRPr="00F609AC">
          <w:rPr>
            <w:rFonts w:ascii="Times New Roman" w:eastAsia="Times New Roman" w:hAnsi="Times New Roman" w:cs="Times New Roman"/>
            <w:color w:val="0000FF"/>
            <w:sz w:val="24"/>
            <w:szCs w:val="24"/>
            <w:u w:val="single"/>
          </w:rPr>
          <w:t>carbonaceous chondrites</w:t>
        </w:r>
      </w:hyperlink>
      <w:r w:rsidRPr="00F609AC">
        <w:rPr>
          <w:rFonts w:ascii="Times New Roman" w:eastAsia="Times New Roman" w:hAnsi="Times New Roman" w:cs="Times New Roman"/>
          <w:sz w:val="24"/>
          <w:szCs w:val="24"/>
        </w:rPr>
        <w:t xml:space="preserve"> indicate that the initial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Sn/</w:t>
      </w:r>
      <w:r w:rsidRPr="00F609AC">
        <w:rPr>
          <w:rFonts w:ascii="Times New Roman" w:eastAsia="Times New Roman" w:hAnsi="Times New Roman" w:cs="Times New Roman"/>
          <w:sz w:val="24"/>
          <w:szCs w:val="24"/>
          <w:vertAlign w:val="superscript"/>
        </w:rPr>
        <w:t>118</w:t>
      </w:r>
      <w:r w:rsidRPr="00F609AC">
        <w:rPr>
          <w:rFonts w:ascii="Times New Roman" w:eastAsia="Times New Roman" w:hAnsi="Times New Roman" w:cs="Times New Roman"/>
          <w:sz w:val="24"/>
          <w:szCs w:val="24"/>
        </w:rPr>
        <w:t>Sn ratio of the solar system was &lt;4 × 10</w:t>
      </w:r>
      <w:r w:rsidRPr="00F609AC">
        <w:rPr>
          <w:rFonts w:ascii="Times New Roman" w:eastAsia="Times New Roman" w:hAnsi="Times New Roman" w:cs="Times New Roman"/>
          <w:sz w:val="24"/>
          <w:szCs w:val="24"/>
          <w:vertAlign w:val="superscript"/>
        </w:rPr>
        <w:t>−5</w:t>
      </w:r>
      <w:r w:rsidRPr="00F609AC">
        <w:rPr>
          <w:rFonts w:ascii="Times New Roman" w:eastAsia="Times New Roman" w:hAnsi="Times New Roman" w:cs="Times New Roman"/>
          <w:sz w:val="24"/>
          <w:szCs w:val="24"/>
        </w:rPr>
        <w:t xml:space="preserve">, but this is dependent on the assumption that no redistribution of Sn and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occurred since the start of the solar system. Five Archean sedimentary sulfides that display both mass dependent and mass-independent </w:t>
      </w:r>
      <w:hyperlink r:id="rId11" w:tooltip="Learn more about isotope effects from ScienceDirect's AI-generated Topic Pages" w:history="1">
        <w:r w:rsidRPr="00F609AC">
          <w:rPr>
            <w:rFonts w:ascii="Times New Roman" w:eastAsia="Times New Roman" w:hAnsi="Times New Roman" w:cs="Times New Roman"/>
            <w:color w:val="0000FF"/>
            <w:sz w:val="24"/>
            <w:szCs w:val="24"/>
            <w:u w:val="single"/>
          </w:rPr>
          <w:t>isotope effects</w:t>
        </w:r>
      </w:hyperlink>
      <w:r w:rsidRPr="00F609AC">
        <w:rPr>
          <w:rFonts w:ascii="Times New Roman" w:eastAsia="Times New Roman" w:hAnsi="Times New Roman" w:cs="Times New Roman"/>
          <w:sz w:val="24"/>
          <w:szCs w:val="24"/>
        </w:rPr>
        <w:t xml:space="preserve"> for S yield internally normalized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 data, which indicate that mass-independent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 effects are absent. The mass dependent fractionations in these samples are constrained to be less than </w:t>
      </w:r>
      <w:r w:rsidRPr="00F609AC">
        <w:rPr>
          <w:rFonts w:ascii="Cambria Math" w:eastAsia="Times New Roman" w:hAnsi="Cambria Math" w:cs="Cambria Math"/>
          <w:sz w:val="24"/>
          <w:szCs w:val="24"/>
        </w:rPr>
        <w:t>∼</w:t>
      </w:r>
      <w:r w:rsidRPr="00F609AC">
        <w:rPr>
          <w:rFonts w:ascii="Times New Roman" w:eastAsia="Times New Roman" w:hAnsi="Times New Roman" w:cs="Times New Roman"/>
          <w:sz w:val="24"/>
          <w:szCs w:val="24"/>
        </w:rPr>
        <w:t>1‰ for δ</w:t>
      </w:r>
      <w:r w:rsidRPr="00F609AC">
        <w:rPr>
          <w:rFonts w:ascii="Times New Roman" w:eastAsia="Times New Roman" w:hAnsi="Times New Roman" w:cs="Times New Roman"/>
          <w:sz w:val="24"/>
          <w:szCs w:val="24"/>
          <w:vertAlign w:val="superscript"/>
        </w:rPr>
        <w:t>126/128</w:t>
      </w:r>
      <w:r w:rsidRPr="00F609AC">
        <w:rPr>
          <w:rFonts w:ascii="Times New Roman" w:eastAsia="Times New Roman" w:hAnsi="Times New Roman" w:cs="Times New Roman"/>
          <w:sz w:val="24"/>
          <w:szCs w:val="24"/>
        </w:rPr>
        <w:t>Te.</w:t>
      </w:r>
    </w:p>
    <w:p w:rsidR="00F609AC" w:rsidRPr="00F609AC" w:rsidRDefault="00F609AC" w:rsidP="00F609AC">
      <w:pPr>
        <w:spacing w:before="100" w:beforeAutospacing="1" w:after="100" w:afterAutospacing="1" w:line="240" w:lineRule="auto"/>
        <w:outlineLvl w:val="1"/>
        <w:rPr>
          <w:rFonts w:ascii="Times New Roman" w:eastAsia="Times New Roman" w:hAnsi="Times New Roman" w:cs="Times New Roman"/>
          <w:b/>
          <w:bCs/>
          <w:sz w:val="36"/>
          <w:szCs w:val="36"/>
        </w:rPr>
      </w:pPr>
      <w:r w:rsidRPr="00F609AC">
        <w:rPr>
          <w:rFonts w:ascii="Times New Roman" w:eastAsia="Times New Roman" w:hAnsi="Times New Roman" w:cs="Times New Roman"/>
          <w:b/>
          <w:bCs/>
          <w:sz w:val="36"/>
          <w:szCs w:val="36"/>
        </w:rPr>
        <w:t>Introduction</w:t>
      </w:r>
    </w:p>
    <w:p w:rsidR="00F609AC" w:rsidRPr="00F609AC" w:rsidRDefault="00F609AC" w:rsidP="00F609AC">
      <w:p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The tellurium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 compositions of early solar system objects have been difficult to determine precisely but are of great current interest for the following reasons: </w:t>
      </w:r>
    </w:p>
    <w:p w:rsidR="00F609AC" w:rsidRPr="00F609AC" w:rsidRDefault="00F609AC" w:rsidP="00F609AC">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(1)</w:t>
      </w:r>
    </w:p>
    <w:p w:rsidR="00F609AC" w:rsidRPr="00F609AC" w:rsidRDefault="00F609AC" w:rsidP="00F609AC">
      <w:pPr>
        <w:spacing w:before="100" w:beforeAutospacing="1" w:after="100" w:afterAutospacing="1" w:line="240" w:lineRule="auto"/>
        <w:ind w:left="720"/>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The short-lived nuclide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 xml:space="preserve">Sn decays to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 xml:space="preserve">Te through the intermediate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 xml:space="preserve">Sb with a half-life of 234,500 ± 7100 </w:t>
      </w:r>
      <w:proofErr w:type="spellStart"/>
      <w:r w:rsidRPr="00F609AC">
        <w:rPr>
          <w:rFonts w:ascii="Times New Roman" w:eastAsia="Times New Roman" w:hAnsi="Times New Roman" w:cs="Times New Roman"/>
          <w:sz w:val="24"/>
          <w:szCs w:val="24"/>
        </w:rPr>
        <w:t>yr</w:t>
      </w:r>
      <w:proofErr w:type="spellEnd"/>
      <w:r w:rsidRPr="00F609AC">
        <w:rPr>
          <w:rFonts w:ascii="Times New Roman" w:eastAsia="Times New Roman" w:hAnsi="Times New Roman" w:cs="Times New Roman"/>
          <w:sz w:val="24"/>
          <w:szCs w:val="24"/>
        </w:rPr>
        <w:t xml:space="preserve"> (</w:t>
      </w:r>
      <w:proofErr w:type="spellStart"/>
      <w:r w:rsidRPr="00F609AC">
        <w:rPr>
          <w:rFonts w:ascii="Times New Roman" w:eastAsia="Times New Roman" w:hAnsi="Times New Roman" w:cs="Times New Roman"/>
          <w:sz w:val="24"/>
          <w:szCs w:val="24"/>
        </w:rPr>
        <w:t>Oberli</w:t>
      </w:r>
      <w:proofErr w:type="spellEnd"/>
      <w:r w:rsidRPr="00F609AC">
        <w:rPr>
          <w:rFonts w:ascii="Times New Roman" w:eastAsia="Times New Roman" w:hAnsi="Times New Roman" w:cs="Times New Roman"/>
          <w:sz w:val="24"/>
          <w:szCs w:val="24"/>
        </w:rPr>
        <w:t xml:space="preserve"> et al., 1999). As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 xml:space="preserve">Sn cannot be produced in significant amounts by the </w:t>
      </w:r>
      <w:r w:rsidRPr="00F609AC">
        <w:rPr>
          <w:rFonts w:ascii="Times New Roman" w:eastAsia="Times New Roman" w:hAnsi="Times New Roman" w:cs="Times New Roman"/>
          <w:i/>
          <w:iCs/>
          <w:sz w:val="24"/>
          <w:szCs w:val="24"/>
        </w:rPr>
        <w:t>s</w:t>
      </w:r>
      <w:r w:rsidRPr="00F609AC">
        <w:rPr>
          <w:rFonts w:ascii="Times New Roman" w:eastAsia="Times New Roman" w:hAnsi="Times New Roman" w:cs="Times New Roman"/>
          <w:sz w:val="24"/>
          <w:szCs w:val="24"/>
        </w:rPr>
        <w:t xml:space="preserve">-process because of the exceedingly short half-life of </w:t>
      </w:r>
      <w:r w:rsidRPr="00F609AC">
        <w:rPr>
          <w:rFonts w:ascii="Times New Roman" w:eastAsia="Times New Roman" w:hAnsi="Times New Roman" w:cs="Times New Roman"/>
          <w:sz w:val="24"/>
          <w:szCs w:val="24"/>
          <w:vertAlign w:val="superscript"/>
        </w:rPr>
        <w:t>125</w:t>
      </w:r>
      <w:r w:rsidRPr="00F609AC">
        <w:rPr>
          <w:rFonts w:ascii="Times New Roman" w:eastAsia="Times New Roman" w:hAnsi="Times New Roman" w:cs="Times New Roman"/>
          <w:sz w:val="24"/>
          <w:szCs w:val="24"/>
        </w:rPr>
        <w:t xml:space="preserve">Sn (9.6 d), it is predominantly an </w:t>
      </w:r>
      <w:r w:rsidRPr="00F609AC">
        <w:rPr>
          <w:rFonts w:ascii="Times New Roman" w:eastAsia="Times New Roman" w:hAnsi="Times New Roman" w:cs="Times New Roman"/>
          <w:i/>
          <w:iCs/>
          <w:sz w:val="24"/>
          <w:szCs w:val="24"/>
        </w:rPr>
        <w:t>r</w:t>
      </w:r>
      <w:r w:rsidRPr="00F609AC">
        <w:rPr>
          <w:rFonts w:ascii="Times New Roman" w:eastAsia="Times New Roman" w:hAnsi="Times New Roman" w:cs="Times New Roman"/>
          <w:sz w:val="24"/>
          <w:szCs w:val="24"/>
        </w:rPr>
        <w:t xml:space="preserve">-process nuclide that is probably formed in supernova environments (Qian et al., 1998). The initial solar system abundances of most short-lived radionuclides with half-lives of </w:t>
      </w:r>
      <w:r w:rsidRPr="00F609AC">
        <w:rPr>
          <w:rFonts w:ascii="Cambria Math" w:eastAsia="Times New Roman" w:hAnsi="Cambria Math" w:cs="Cambria Math"/>
          <w:sz w:val="24"/>
          <w:szCs w:val="24"/>
        </w:rPr>
        <w:t>∼</w:t>
      </w:r>
      <w:r w:rsidRPr="00F609AC">
        <w:rPr>
          <w:rFonts w:ascii="Times New Roman" w:eastAsia="Times New Roman" w:hAnsi="Times New Roman" w:cs="Times New Roman"/>
          <w:sz w:val="24"/>
          <w:szCs w:val="24"/>
        </w:rPr>
        <w:t xml:space="preserve">10 to 100 </w:t>
      </w:r>
      <w:proofErr w:type="spellStart"/>
      <w:r w:rsidRPr="00F609AC">
        <w:rPr>
          <w:rFonts w:ascii="Times New Roman" w:eastAsia="Times New Roman" w:hAnsi="Times New Roman" w:cs="Times New Roman"/>
          <w:sz w:val="24"/>
          <w:szCs w:val="24"/>
        </w:rPr>
        <w:t>Myr</w:t>
      </w:r>
      <w:proofErr w:type="spellEnd"/>
      <w:r w:rsidRPr="00F609AC">
        <w:rPr>
          <w:rFonts w:ascii="Times New Roman" w:eastAsia="Times New Roman" w:hAnsi="Times New Roman" w:cs="Times New Roman"/>
          <w:sz w:val="24"/>
          <w:szCs w:val="24"/>
        </w:rPr>
        <w:t xml:space="preserve"> (e.g., </w:t>
      </w:r>
      <w:r w:rsidRPr="00F609AC">
        <w:rPr>
          <w:rFonts w:ascii="Times New Roman" w:eastAsia="Times New Roman" w:hAnsi="Times New Roman" w:cs="Times New Roman"/>
          <w:sz w:val="24"/>
          <w:szCs w:val="24"/>
          <w:vertAlign w:val="superscript"/>
        </w:rPr>
        <w:t>129</w:t>
      </w:r>
      <w:r w:rsidRPr="00F609AC">
        <w:rPr>
          <w:rFonts w:ascii="Times New Roman" w:eastAsia="Times New Roman" w:hAnsi="Times New Roman" w:cs="Times New Roman"/>
          <w:sz w:val="24"/>
          <w:szCs w:val="24"/>
        </w:rPr>
        <w:t xml:space="preserve">I, </w:t>
      </w:r>
      <w:r w:rsidRPr="00F609AC">
        <w:rPr>
          <w:rFonts w:ascii="Times New Roman" w:eastAsia="Times New Roman" w:hAnsi="Times New Roman" w:cs="Times New Roman"/>
          <w:sz w:val="24"/>
          <w:szCs w:val="24"/>
          <w:vertAlign w:val="superscript"/>
        </w:rPr>
        <w:t>146</w:t>
      </w:r>
      <w:r w:rsidRPr="00F609AC">
        <w:rPr>
          <w:rFonts w:ascii="Times New Roman" w:eastAsia="Times New Roman" w:hAnsi="Times New Roman" w:cs="Times New Roman"/>
          <w:sz w:val="24"/>
          <w:szCs w:val="24"/>
        </w:rPr>
        <w:t xml:space="preserve">Sm, </w:t>
      </w:r>
      <w:r w:rsidRPr="00F609AC">
        <w:rPr>
          <w:rFonts w:ascii="Times New Roman" w:eastAsia="Times New Roman" w:hAnsi="Times New Roman" w:cs="Times New Roman"/>
          <w:sz w:val="24"/>
          <w:szCs w:val="24"/>
          <w:vertAlign w:val="superscript"/>
        </w:rPr>
        <w:t>244</w:t>
      </w:r>
      <w:r w:rsidRPr="00F609AC">
        <w:rPr>
          <w:rFonts w:ascii="Times New Roman" w:eastAsia="Times New Roman" w:hAnsi="Times New Roman" w:cs="Times New Roman"/>
          <w:sz w:val="24"/>
          <w:szCs w:val="24"/>
        </w:rPr>
        <w:t>Pu) are commonly assumed to reflect steady state concentrations that were established through continuous galactic nucleosynthesis and free decay in the interstellar medium (</w:t>
      </w:r>
      <w:proofErr w:type="spellStart"/>
      <w:r w:rsidRPr="00F609AC">
        <w:rPr>
          <w:rFonts w:ascii="Times New Roman" w:eastAsia="Times New Roman" w:hAnsi="Times New Roman" w:cs="Times New Roman"/>
          <w:sz w:val="24"/>
          <w:szCs w:val="24"/>
        </w:rPr>
        <w:t>Wasserburg</w:t>
      </w:r>
      <w:proofErr w:type="spellEnd"/>
      <w:r w:rsidRPr="00F609AC">
        <w:rPr>
          <w:rFonts w:ascii="Times New Roman" w:eastAsia="Times New Roman" w:hAnsi="Times New Roman" w:cs="Times New Roman"/>
          <w:sz w:val="24"/>
          <w:szCs w:val="24"/>
        </w:rPr>
        <w:t xml:space="preserve"> et al 1996, Meyer and Clayton 2000). The discovery of radiogenic effects from the decay of short-lived nuclides with half-lives of </w:t>
      </w:r>
      <w:r w:rsidRPr="00F609AC">
        <w:rPr>
          <w:rFonts w:ascii="Times New Roman" w:eastAsia="Times New Roman" w:hAnsi="Times New Roman" w:cs="Times New Roman"/>
          <w:sz w:val="24"/>
          <w:szCs w:val="24"/>
        </w:rPr>
        <w:lastRenderedPageBreak/>
        <w:t xml:space="preserve">less than 1 </w:t>
      </w:r>
      <w:proofErr w:type="spellStart"/>
      <w:r w:rsidRPr="00F609AC">
        <w:rPr>
          <w:rFonts w:ascii="Times New Roman" w:eastAsia="Times New Roman" w:hAnsi="Times New Roman" w:cs="Times New Roman"/>
          <w:sz w:val="24"/>
          <w:szCs w:val="24"/>
        </w:rPr>
        <w:t>Myr</w:t>
      </w:r>
      <w:proofErr w:type="spellEnd"/>
      <w:r w:rsidRPr="00F609AC">
        <w:rPr>
          <w:rFonts w:ascii="Times New Roman" w:eastAsia="Times New Roman" w:hAnsi="Times New Roman" w:cs="Times New Roman"/>
          <w:sz w:val="24"/>
          <w:szCs w:val="24"/>
        </w:rPr>
        <w:t xml:space="preserve"> (e.g., </w:t>
      </w:r>
      <w:r w:rsidRPr="00F609AC">
        <w:rPr>
          <w:rFonts w:ascii="Times New Roman" w:eastAsia="Times New Roman" w:hAnsi="Times New Roman" w:cs="Times New Roman"/>
          <w:sz w:val="24"/>
          <w:szCs w:val="24"/>
          <w:vertAlign w:val="superscript"/>
        </w:rPr>
        <w:t>26</w:t>
      </w:r>
      <w:r w:rsidRPr="00F609AC">
        <w:rPr>
          <w:rFonts w:ascii="Times New Roman" w:eastAsia="Times New Roman" w:hAnsi="Times New Roman" w:cs="Times New Roman"/>
          <w:sz w:val="24"/>
          <w:szCs w:val="24"/>
        </w:rPr>
        <w:t xml:space="preserve">Al, </w:t>
      </w:r>
      <w:r w:rsidRPr="00F609AC">
        <w:rPr>
          <w:rFonts w:ascii="Times New Roman" w:eastAsia="Times New Roman" w:hAnsi="Times New Roman" w:cs="Times New Roman"/>
          <w:sz w:val="24"/>
          <w:szCs w:val="24"/>
          <w:vertAlign w:val="superscript"/>
        </w:rPr>
        <w:t>41</w:t>
      </w:r>
      <w:r w:rsidRPr="00F609AC">
        <w:rPr>
          <w:rFonts w:ascii="Times New Roman" w:eastAsia="Times New Roman" w:hAnsi="Times New Roman" w:cs="Times New Roman"/>
          <w:sz w:val="24"/>
          <w:szCs w:val="24"/>
        </w:rPr>
        <w:t xml:space="preserve">Ca) in meteorites, however, requires that these isotopes were produced either within the nascent solar system by spallation or in a late stellar nucleosynthetic event that took place just before the collapse of the </w:t>
      </w:r>
      <w:proofErr w:type="spellStart"/>
      <w:r w:rsidRPr="00F609AC">
        <w:rPr>
          <w:rFonts w:ascii="Times New Roman" w:eastAsia="Times New Roman" w:hAnsi="Times New Roman" w:cs="Times New Roman"/>
          <w:sz w:val="24"/>
          <w:szCs w:val="24"/>
        </w:rPr>
        <w:t>protosolar</w:t>
      </w:r>
      <w:proofErr w:type="spellEnd"/>
      <w:r w:rsidRPr="00F609AC">
        <w:rPr>
          <w:rFonts w:ascii="Times New Roman" w:eastAsia="Times New Roman" w:hAnsi="Times New Roman" w:cs="Times New Roman"/>
          <w:sz w:val="24"/>
          <w:szCs w:val="24"/>
        </w:rPr>
        <w:t xml:space="preserve"> cloud (Lee et al 1998, Meyer and Clayton 2000). </w:t>
      </w:r>
      <w:proofErr w:type="spellStart"/>
      <w:r w:rsidRPr="00F609AC">
        <w:rPr>
          <w:rFonts w:ascii="Times New Roman" w:eastAsia="Times New Roman" w:hAnsi="Times New Roman" w:cs="Times New Roman"/>
          <w:sz w:val="24"/>
          <w:szCs w:val="24"/>
        </w:rPr>
        <w:t>Cosmochemical</w:t>
      </w:r>
      <w:proofErr w:type="spellEnd"/>
      <w:r w:rsidRPr="00F609AC">
        <w:rPr>
          <w:rFonts w:ascii="Times New Roman" w:eastAsia="Times New Roman" w:hAnsi="Times New Roman" w:cs="Times New Roman"/>
          <w:sz w:val="24"/>
          <w:szCs w:val="24"/>
        </w:rPr>
        <w:t xml:space="preserve"> investigations of the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Sn-</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 xml:space="preserve">Te decay system are important in this regard because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 xml:space="preserve">Sn has a very short half-life and it cannot be formed by spallation. The only event that would be expected to produce sufficient amounts of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 xml:space="preserve">Sn to generate resolvable anomalies of its daughter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 xml:space="preserve">Te in at least some meteorite parent bodies, is a supernova explosion that occurred just before the formation of the solar system. The discovery of </w:t>
      </w:r>
      <w:r w:rsidRPr="00F609AC">
        <w:rPr>
          <w:rFonts w:ascii="Times New Roman" w:eastAsia="Times New Roman" w:hAnsi="Times New Roman" w:cs="Times New Roman"/>
          <w:sz w:val="24"/>
          <w:szCs w:val="24"/>
          <w:vertAlign w:val="superscript"/>
        </w:rPr>
        <w:t>126</w:t>
      </w:r>
      <w:r w:rsidRPr="00F609AC">
        <w:rPr>
          <w:rFonts w:ascii="Times New Roman" w:eastAsia="Times New Roman" w:hAnsi="Times New Roman" w:cs="Times New Roman"/>
          <w:sz w:val="24"/>
          <w:szCs w:val="24"/>
        </w:rPr>
        <w:t>Te excesses that correlate with Sn/</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ratios in meteorites would therefore provide powerful confirmation of the theory that a supernova injected freshly synthesized nuclides into the molecular cloud from which our solar system formed, providing evidence of a trigger (Cameron and </w:t>
      </w:r>
      <w:proofErr w:type="spellStart"/>
      <w:r w:rsidRPr="00F609AC">
        <w:rPr>
          <w:rFonts w:ascii="Times New Roman" w:eastAsia="Times New Roman" w:hAnsi="Times New Roman" w:cs="Times New Roman"/>
          <w:sz w:val="24"/>
          <w:szCs w:val="24"/>
        </w:rPr>
        <w:t>Truran</w:t>
      </w:r>
      <w:proofErr w:type="spellEnd"/>
      <w:r w:rsidRPr="00F609AC">
        <w:rPr>
          <w:rFonts w:ascii="Times New Roman" w:eastAsia="Times New Roman" w:hAnsi="Times New Roman" w:cs="Times New Roman"/>
          <w:sz w:val="24"/>
          <w:szCs w:val="24"/>
        </w:rPr>
        <w:t>, 1977).</w:t>
      </w:r>
    </w:p>
    <w:p w:rsidR="00F609AC" w:rsidRPr="00F609AC" w:rsidRDefault="00F609AC" w:rsidP="00F609AC">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(2)</w:t>
      </w:r>
    </w:p>
    <w:p w:rsidR="00F609AC" w:rsidRPr="00F609AC" w:rsidRDefault="00F609AC" w:rsidP="00F609AC">
      <w:pPr>
        <w:spacing w:before="100" w:beforeAutospacing="1" w:after="100" w:afterAutospacing="1" w:line="240" w:lineRule="auto"/>
        <w:ind w:left="720"/>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Tellurium isotopes offer a broad spectrum of nucleosynthetic sites to test models for the stars that contributed nuclides to the molecular cloud from which the Sun and planets were formed (Smith and De </w:t>
      </w:r>
      <w:proofErr w:type="spellStart"/>
      <w:r w:rsidRPr="00F609AC">
        <w:rPr>
          <w:rFonts w:ascii="Times New Roman" w:eastAsia="Times New Roman" w:hAnsi="Times New Roman" w:cs="Times New Roman"/>
          <w:sz w:val="24"/>
          <w:szCs w:val="24"/>
        </w:rPr>
        <w:t>Laeter</w:t>
      </w:r>
      <w:proofErr w:type="spellEnd"/>
      <w:r w:rsidRPr="00F609AC">
        <w:rPr>
          <w:rFonts w:ascii="Times New Roman" w:eastAsia="Times New Roman" w:hAnsi="Times New Roman" w:cs="Times New Roman"/>
          <w:sz w:val="24"/>
          <w:szCs w:val="24"/>
        </w:rPr>
        <w:t xml:space="preserve">, 1986). A number of studies have concluded that the solar nebula was, in general, well mixed (e.g., </w:t>
      </w:r>
      <w:proofErr w:type="spellStart"/>
      <w:r w:rsidRPr="00F609AC">
        <w:rPr>
          <w:rFonts w:ascii="Times New Roman" w:eastAsia="Times New Roman" w:hAnsi="Times New Roman" w:cs="Times New Roman"/>
          <w:sz w:val="24"/>
          <w:szCs w:val="24"/>
        </w:rPr>
        <w:t>Suess</w:t>
      </w:r>
      <w:proofErr w:type="spellEnd"/>
      <w:r w:rsidRPr="00F609AC">
        <w:rPr>
          <w:rFonts w:ascii="Times New Roman" w:eastAsia="Times New Roman" w:hAnsi="Times New Roman" w:cs="Times New Roman"/>
          <w:sz w:val="24"/>
          <w:szCs w:val="24"/>
        </w:rPr>
        <w:t xml:space="preserve"> 1965, Reynolds 1967) and it is now known that the isotope compositions of many elements are identical to within </w:t>
      </w:r>
      <w:r w:rsidRPr="00F609AC">
        <w:rPr>
          <w:rFonts w:ascii="Cambria Math" w:eastAsia="Times New Roman" w:hAnsi="Cambria Math" w:cs="Cambria Math"/>
          <w:sz w:val="24"/>
          <w:szCs w:val="24"/>
        </w:rPr>
        <w:t>∼</w:t>
      </w:r>
      <w:r w:rsidRPr="00F609AC">
        <w:rPr>
          <w:rFonts w:ascii="Times New Roman" w:eastAsia="Times New Roman" w:hAnsi="Times New Roman" w:cs="Times New Roman"/>
          <w:sz w:val="24"/>
          <w:szCs w:val="24"/>
        </w:rPr>
        <w:t xml:space="preserve">0.01% or less in bulk samples of the Earth, Moon, Mars (as sampled by SNC meteorites) and various meteorite parent bodies (e.g., Reynolds 1967, </w:t>
      </w:r>
      <w:proofErr w:type="spellStart"/>
      <w:r w:rsidRPr="00F609AC">
        <w:rPr>
          <w:rFonts w:ascii="Times New Roman" w:eastAsia="Times New Roman" w:hAnsi="Times New Roman" w:cs="Times New Roman"/>
          <w:sz w:val="24"/>
          <w:szCs w:val="24"/>
        </w:rPr>
        <w:t>Schönbächler</w:t>
      </w:r>
      <w:proofErr w:type="spellEnd"/>
      <w:r w:rsidRPr="00F609AC">
        <w:rPr>
          <w:rFonts w:ascii="Times New Roman" w:eastAsia="Times New Roman" w:hAnsi="Times New Roman" w:cs="Times New Roman"/>
          <w:sz w:val="24"/>
          <w:szCs w:val="24"/>
        </w:rPr>
        <w:t xml:space="preserve"> et al 2003). Large-scale isotopic variations, however, have been proposed for a number of elements, including O (Clayton, 2004), Mn or Cr (</w:t>
      </w:r>
      <w:proofErr w:type="spellStart"/>
      <w:r w:rsidRPr="00F609AC">
        <w:rPr>
          <w:rFonts w:ascii="Times New Roman" w:eastAsia="Times New Roman" w:hAnsi="Times New Roman" w:cs="Times New Roman"/>
          <w:sz w:val="24"/>
          <w:szCs w:val="24"/>
        </w:rPr>
        <w:t>Lugmair</w:t>
      </w:r>
      <w:proofErr w:type="spellEnd"/>
      <w:r w:rsidRPr="00F609AC">
        <w:rPr>
          <w:rFonts w:ascii="Times New Roman" w:eastAsia="Times New Roman" w:hAnsi="Times New Roman" w:cs="Times New Roman"/>
          <w:sz w:val="24"/>
          <w:szCs w:val="24"/>
        </w:rPr>
        <w:t xml:space="preserve"> and </w:t>
      </w:r>
      <w:proofErr w:type="spellStart"/>
      <w:r w:rsidRPr="00F609AC">
        <w:rPr>
          <w:rFonts w:ascii="Times New Roman" w:eastAsia="Times New Roman" w:hAnsi="Times New Roman" w:cs="Times New Roman"/>
          <w:sz w:val="24"/>
          <w:szCs w:val="24"/>
        </w:rPr>
        <w:t>Shukolyukov</w:t>
      </w:r>
      <w:proofErr w:type="spellEnd"/>
      <w:r w:rsidRPr="00F609AC">
        <w:rPr>
          <w:rFonts w:ascii="Times New Roman" w:eastAsia="Times New Roman" w:hAnsi="Times New Roman" w:cs="Times New Roman"/>
          <w:sz w:val="24"/>
          <w:szCs w:val="24"/>
        </w:rPr>
        <w:t>, 1998), Mo (</w:t>
      </w:r>
      <w:proofErr w:type="spellStart"/>
      <w:r w:rsidRPr="00F609AC">
        <w:rPr>
          <w:rFonts w:ascii="Times New Roman" w:eastAsia="Times New Roman" w:hAnsi="Times New Roman" w:cs="Times New Roman"/>
          <w:sz w:val="24"/>
          <w:szCs w:val="24"/>
        </w:rPr>
        <w:t>Dauphas</w:t>
      </w:r>
      <w:proofErr w:type="spellEnd"/>
      <w:r w:rsidRPr="00F609AC">
        <w:rPr>
          <w:rFonts w:ascii="Times New Roman" w:eastAsia="Times New Roman" w:hAnsi="Times New Roman" w:cs="Times New Roman"/>
          <w:sz w:val="24"/>
          <w:szCs w:val="24"/>
        </w:rPr>
        <w:t xml:space="preserve"> et al., 2002), and Ru (Chen et al 2003, </w:t>
      </w:r>
      <w:proofErr w:type="spellStart"/>
      <w:r w:rsidRPr="00F609AC">
        <w:rPr>
          <w:rFonts w:ascii="Times New Roman" w:eastAsia="Times New Roman" w:hAnsi="Times New Roman" w:cs="Times New Roman"/>
          <w:sz w:val="24"/>
          <w:szCs w:val="24"/>
        </w:rPr>
        <w:t>Papanastassiou</w:t>
      </w:r>
      <w:proofErr w:type="spellEnd"/>
      <w:r w:rsidRPr="00F609AC">
        <w:rPr>
          <w:rFonts w:ascii="Times New Roman" w:eastAsia="Times New Roman" w:hAnsi="Times New Roman" w:cs="Times New Roman"/>
          <w:sz w:val="24"/>
          <w:szCs w:val="24"/>
        </w:rPr>
        <w:t xml:space="preserve"> et al 2004). On a smaller scale, nucleosynthetic anomalies of various elements are known in calcium-aluminum-rich inclusions (CAIs) (MacPherson, 2004) and </w:t>
      </w:r>
      <w:proofErr w:type="spellStart"/>
      <w:r w:rsidRPr="00F609AC">
        <w:rPr>
          <w:rFonts w:ascii="Times New Roman" w:eastAsia="Times New Roman" w:hAnsi="Times New Roman" w:cs="Times New Roman"/>
          <w:sz w:val="24"/>
          <w:szCs w:val="24"/>
        </w:rPr>
        <w:t>presolar</w:t>
      </w:r>
      <w:proofErr w:type="spellEnd"/>
      <w:r w:rsidRPr="00F609AC">
        <w:rPr>
          <w:rFonts w:ascii="Times New Roman" w:eastAsia="Times New Roman" w:hAnsi="Times New Roman" w:cs="Times New Roman"/>
          <w:sz w:val="24"/>
          <w:szCs w:val="24"/>
        </w:rPr>
        <w:t xml:space="preserve"> grains (</w:t>
      </w:r>
      <w:proofErr w:type="spellStart"/>
      <w:r w:rsidRPr="00F609AC">
        <w:rPr>
          <w:rFonts w:ascii="Times New Roman" w:eastAsia="Times New Roman" w:hAnsi="Times New Roman" w:cs="Times New Roman"/>
          <w:sz w:val="24"/>
          <w:szCs w:val="24"/>
        </w:rPr>
        <w:t>Nittler</w:t>
      </w:r>
      <w:proofErr w:type="spellEnd"/>
      <w:r w:rsidRPr="00F609AC">
        <w:rPr>
          <w:rFonts w:ascii="Times New Roman" w:eastAsia="Times New Roman" w:hAnsi="Times New Roman" w:cs="Times New Roman"/>
          <w:sz w:val="24"/>
          <w:szCs w:val="24"/>
        </w:rPr>
        <w:t xml:space="preserve"> 2003, </w:t>
      </w:r>
      <w:proofErr w:type="spellStart"/>
      <w:r w:rsidRPr="00F609AC">
        <w:rPr>
          <w:rFonts w:ascii="Times New Roman" w:eastAsia="Times New Roman" w:hAnsi="Times New Roman" w:cs="Times New Roman"/>
          <w:sz w:val="24"/>
          <w:szCs w:val="24"/>
        </w:rPr>
        <w:t>Zinner</w:t>
      </w:r>
      <w:proofErr w:type="spellEnd"/>
      <w:r w:rsidRPr="00F609AC">
        <w:rPr>
          <w:rFonts w:ascii="Times New Roman" w:eastAsia="Times New Roman" w:hAnsi="Times New Roman" w:cs="Times New Roman"/>
          <w:sz w:val="24"/>
          <w:szCs w:val="24"/>
        </w:rPr>
        <w:t xml:space="preserve"> 2004). Tellurium is particularly useful for studies of stellar nucleosynthesis because it has eight stable nuclides with a range of production mechanisms. </w:t>
      </w:r>
      <w:r w:rsidRPr="00F609AC">
        <w:rPr>
          <w:rFonts w:ascii="Times New Roman" w:eastAsia="Times New Roman" w:hAnsi="Times New Roman" w:cs="Times New Roman"/>
          <w:sz w:val="24"/>
          <w:szCs w:val="24"/>
          <w:vertAlign w:val="superscript"/>
        </w:rPr>
        <w:t>120</w:t>
      </w:r>
      <w:r w:rsidRPr="00F609AC">
        <w:rPr>
          <w:rFonts w:ascii="Times New Roman" w:eastAsia="Times New Roman" w:hAnsi="Times New Roman" w:cs="Times New Roman"/>
          <w:sz w:val="24"/>
          <w:szCs w:val="24"/>
        </w:rPr>
        <w:t xml:space="preserve">Te is produced only by the </w:t>
      </w:r>
      <w:r w:rsidRPr="00F609AC">
        <w:rPr>
          <w:rFonts w:ascii="Times New Roman" w:eastAsia="Times New Roman" w:hAnsi="Times New Roman" w:cs="Times New Roman"/>
          <w:i/>
          <w:iCs/>
          <w:sz w:val="24"/>
          <w:szCs w:val="24"/>
        </w:rPr>
        <w:t>p</w:t>
      </w:r>
      <w:r w:rsidRPr="00F609AC">
        <w:rPr>
          <w:rFonts w:ascii="Times New Roman" w:eastAsia="Times New Roman" w:hAnsi="Times New Roman" w:cs="Times New Roman"/>
          <w:sz w:val="24"/>
          <w:szCs w:val="24"/>
        </w:rPr>
        <w:t xml:space="preserve">-process, </w:t>
      </w:r>
      <w:r w:rsidRPr="00F609AC">
        <w:rPr>
          <w:rFonts w:ascii="Times New Roman" w:eastAsia="Times New Roman" w:hAnsi="Times New Roman" w:cs="Times New Roman"/>
          <w:sz w:val="24"/>
          <w:szCs w:val="24"/>
          <w:vertAlign w:val="superscript"/>
        </w:rPr>
        <w:t>122–124</w:t>
      </w:r>
      <w:r w:rsidRPr="00F609AC">
        <w:rPr>
          <w:rFonts w:ascii="Times New Roman" w:eastAsia="Times New Roman" w:hAnsi="Times New Roman" w:cs="Times New Roman"/>
          <w:sz w:val="24"/>
          <w:szCs w:val="24"/>
        </w:rPr>
        <w:t xml:space="preserve">Te only by the </w:t>
      </w:r>
      <w:r w:rsidRPr="00F609AC">
        <w:rPr>
          <w:rFonts w:ascii="Times New Roman" w:eastAsia="Times New Roman" w:hAnsi="Times New Roman" w:cs="Times New Roman"/>
          <w:i/>
          <w:iCs/>
          <w:sz w:val="24"/>
          <w:szCs w:val="24"/>
        </w:rPr>
        <w:t>s</w:t>
      </w:r>
      <w:r w:rsidRPr="00F609AC">
        <w:rPr>
          <w:rFonts w:ascii="Times New Roman" w:eastAsia="Times New Roman" w:hAnsi="Times New Roman" w:cs="Times New Roman"/>
          <w:sz w:val="24"/>
          <w:szCs w:val="24"/>
        </w:rPr>
        <w:t xml:space="preserve">-process, </w:t>
      </w:r>
      <w:r w:rsidRPr="00F609AC">
        <w:rPr>
          <w:rFonts w:ascii="Times New Roman" w:eastAsia="Times New Roman" w:hAnsi="Times New Roman" w:cs="Times New Roman"/>
          <w:sz w:val="24"/>
          <w:szCs w:val="24"/>
          <w:vertAlign w:val="superscript"/>
        </w:rPr>
        <w:t>128,130</w:t>
      </w:r>
      <w:r w:rsidRPr="00F609AC">
        <w:rPr>
          <w:rFonts w:ascii="Times New Roman" w:eastAsia="Times New Roman" w:hAnsi="Times New Roman" w:cs="Times New Roman"/>
          <w:sz w:val="24"/>
          <w:szCs w:val="24"/>
        </w:rPr>
        <w:t xml:space="preserve">Te only by the </w:t>
      </w:r>
      <w:r w:rsidRPr="00F609AC">
        <w:rPr>
          <w:rFonts w:ascii="Times New Roman" w:eastAsia="Times New Roman" w:hAnsi="Times New Roman" w:cs="Times New Roman"/>
          <w:i/>
          <w:iCs/>
          <w:sz w:val="24"/>
          <w:szCs w:val="24"/>
        </w:rPr>
        <w:t>r</w:t>
      </w:r>
      <w:r w:rsidRPr="00F609AC">
        <w:rPr>
          <w:rFonts w:ascii="Times New Roman" w:eastAsia="Times New Roman" w:hAnsi="Times New Roman" w:cs="Times New Roman"/>
          <w:sz w:val="24"/>
          <w:szCs w:val="24"/>
        </w:rPr>
        <w:t xml:space="preserve">-process, whereas </w:t>
      </w:r>
      <w:r w:rsidRPr="00F609AC">
        <w:rPr>
          <w:rFonts w:ascii="Times New Roman" w:eastAsia="Times New Roman" w:hAnsi="Times New Roman" w:cs="Times New Roman"/>
          <w:sz w:val="24"/>
          <w:szCs w:val="24"/>
          <w:vertAlign w:val="superscript"/>
        </w:rPr>
        <w:t>125,126</w:t>
      </w:r>
      <w:r w:rsidRPr="00F609AC">
        <w:rPr>
          <w:rFonts w:ascii="Times New Roman" w:eastAsia="Times New Roman" w:hAnsi="Times New Roman" w:cs="Times New Roman"/>
          <w:sz w:val="24"/>
          <w:szCs w:val="24"/>
        </w:rPr>
        <w:t xml:space="preserve">Te are produced by both the </w:t>
      </w:r>
      <w:r w:rsidRPr="00F609AC">
        <w:rPr>
          <w:rFonts w:ascii="Times New Roman" w:eastAsia="Times New Roman" w:hAnsi="Times New Roman" w:cs="Times New Roman"/>
          <w:i/>
          <w:iCs/>
          <w:sz w:val="24"/>
          <w:szCs w:val="24"/>
        </w:rPr>
        <w:t>r</w:t>
      </w:r>
      <w:r w:rsidRPr="00F609AC">
        <w:rPr>
          <w:rFonts w:ascii="Times New Roman" w:eastAsia="Times New Roman" w:hAnsi="Times New Roman" w:cs="Times New Roman"/>
          <w:sz w:val="24"/>
          <w:szCs w:val="24"/>
        </w:rPr>
        <w:t xml:space="preserve">- and </w:t>
      </w:r>
      <w:r w:rsidRPr="00F609AC">
        <w:rPr>
          <w:rFonts w:ascii="Times New Roman" w:eastAsia="Times New Roman" w:hAnsi="Times New Roman" w:cs="Times New Roman"/>
          <w:i/>
          <w:iCs/>
          <w:sz w:val="24"/>
          <w:szCs w:val="24"/>
        </w:rPr>
        <w:t>s</w:t>
      </w:r>
      <w:r w:rsidRPr="00F609AC">
        <w:rPr>
          <w:rFonts w:ascii="Times New Roman" w:eastAsia="Times New Roman" w:hAnsi="Times New Roman" w:cs="Times New Roman"/>
          <w:sz w:val="24"/>
          <w:szCs w:val="24"/>
        </w:rPr>
        <w:t xml:space="preserve">-process. In addition, it has already been demonstrated that there exist large (‰–% level) nucleosynthetic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 anomalies in </w:t>
      </w:r>
      <w:proofErr w:type="spellStart"/>
      <w:r w:rsidRPr="00F609AC">
        <w:rPr>
          <w:rFonts w:ascii="Times New Roman" w:eastAsia="Times New Roman" w:hAnsi="Times New Roman" w:cs="Times New Roman"/>
          <w:sz w:val="24"/>
          <w:szCs w:val="24"/>
        </w:rPr>
        <w:t>presolar</w:t>
      </w:r>
      <w:proofErr w:type="spellEnd"/>
      <w:r w:rsidRPr="00F609AC">
        <w:rPr>
          <w:rFonts w:ascii="Times New Roman" w:eastAsia="Times New Roman" w:hAnsi="Times New Roman" w:cs="Times New Roman"/>
          <w:sz w:val="24"/>
          <w:szCs w:val="24"/>
        </w:rPr>
        <w:t xml:space="preserve"> diamonds from Allende (Richter et al 1998, Maas et al 2001).</w:t>
      </w:r>
    </w:p>
    <w:p w:rsidR="00F609AC" w:rsidRPr="00F609AC" w:rsidRDefault="00F609AC" w:rsidP="00F609AC">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(3)</w:t>
      </w:r>
    </w:p>
    <w:p w:rsidR="00F609AC" w:rsidRPr="00F609AC" w:rsidRDefault="00F609AC" w:rsidP="00F609AC">
      <w:pPr>
        <w:spacing w:before="100" w:beforeAutospacing="1" w:after="100" w:afterAutospacing="1" w:line="240" w:lineRule="auto"/>
        <w:ind w:left="720"/>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Cadmium isotope fractionations of almost 4‰ per </w:t>
      </w:r>
      <w:proofErr w:type="spellStart"/>
      <w:r w:rsidRPr="00F609AC">
        <w:rPr>
          <w:rFonts w:ascii="Times New Roman" w:eastAsia="Times New Roman" w:hAnsi="Times New Roman" w:cs="Times New Roman"/>
          <w:sz w:val="24"/>
          <w:szCs w:val="24"/>
        </w:rPr>
        <w:t>amu</w:t>
      </w:r>
      <w:proofErr w:type="spellEnd"/>
      <w:r w:rsidRPr="00F609AC">
        <w:rPr>
          <w:rFonts w:ascii="Times New Roman" w:eastAsia="Times New Roman" w:hAnsi="Times New Roman" w:cs="Times New Roman"/>
          <w:sz w:val="24"/>
          <w:szCs w:val="24"/>
        </w:rPr>
        <w:t xml:space="preserve"> mass difference have been reported for some chondritic meteorites that are </w:t>
      </w:r>
      <w:proofErr w:type="spellStart"/>
      <w:r w:rsidRPr="00F609AC">
        <w:rPr>
          <w:rFonts w:ascii="Times New Roman" w:eastAsia="Times New Roman" w:hAnsi="Times New Roman" w:cs="Times New Roman"/>
          <w:sz w:val="24"/>
          <w:szCs w:val="24"/>
        </w:rPr>
        <w:t>though</w:t>
      </w:r>
      <w:proofErr w:type="spellEnd"/>
      <w:r w:rsidRPr="00F609AC">
        <w:rPr>
          <w:rFonts w:ascii="Times New Roman" w:eastAsia="Times New Roman" w:hAnsi="Times New Roman" w:cs="Times New Roman"/>
          <w:sz w:val="24"/>
          <w:szCs w:val="24"/>
        </w:rPr>
        <w:t xml:space="preserve"> to reflect redistribution of this volatile element due to thermal metamorphism (Rosman and De </w:t>
      </w:r>
      <w:proofErr w:type="spellStart"/>
      <w:r w:rsidRPr="00F609AC">
        <w:rPr>
          <w:rFonts w:ascii="Times New Roman" w:eastAsia="Times New Roman" w:hAnsi="Times New Roman" w:cs="Times New Roman"/>
          <w:sz w:val="24"/>
          <w:szCs w:val="24"/>
        </w:rPr>
        <w:t>Laeter</w:t>
      </w:r>
      <w:proofErr w:type="spellEnd"/>
      <w:r w:rsidRPr="00F609AC">
        <w:rPr>
          <w:rFonts w:ascii="Times New Roman" w:eastAsia="Times New Roman" w:hAnsi="Times New Roman" w:cs="Times New Roman"/>
          <w:sz w:val="24"/>
          <w:szCs w:val="24"/>
        </w:rPr>
        <w:t xml:space="preserve"> 1988, </w:t>
      </w:r>
      <w:proofErr w:type="spellStart"/>
      <w:r w:rsidRPr="00F609AC">
        <w:rPr>
          <w:rFonts w:ascii="Times New Roman" w:eastAsia="Times New Roman" w:hAnsi="Times New Roman" w:cs="Times New Roman"/>
          <w:sz w:val="24"/>
          <w:szCs w:val="24"/>
        </w:rPr>
        <w:t>Wombacher</w:t>
      </w:r>
      <w:proofErr w:type="spellEnd"/>
      <w:r w:rsidRPr="00F609AC">
        <w:rPr>
          <w:rFonts w:ascii="Times New Roman" w:eastAsia="Times New Roman" w:hAnsi="Times New Roman" w:cs="Times New Roman"/>
          <w:sz w:val="24"/>
          <w:szCs w:val="24"/>
        </w:rPr>
        <w:t xml:space="preserve"> et al 2003). Tellurium is only slightly less volatile than Cd, such that it may also exhibit large stable isotope effects.</w:t>
      </w:r>
    </w:p>
    <w:p w:rsidR="00F609AC" w:rsidRPr="00F609AC" w:rsidRDefault="00F609AC" w:rsidP="00F609AC">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(4)</w:t>
      </w:r>
    </w:p>
    <w:p w:rsidR="00F609AC" w:rsidRPr="00F609AC" w:rsidRDefault="00F609AC" w:rsidP="00F609AC">
      <w:pPr>
        <w:spacing w:before="100" w:beforeAutospacing="1" w:after="100" w:afterAutospacing="1" w:line="240" w:lineRule="auto"/>
        <w:ind w:left="720"/>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Some Archean sulfides have been found to display large mass-independent fractionations (MIF) for S isotopes (Ono et al., 2003). These isotope effects are thought to be due to photochemical reactions of gaseous S-species that were delivered to the atmosphere by volcanic activity (Farquhar et al., 2000). The chalcophile element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has a (geo)chemical </w:t>
      </w:r>
      <w:r w:rsidRPr="00F609AC">
        <w:rPr>
          <w:rFonts w:ascii="Times New Roman" w:eastAsia="Times New Roman" w:hAnsi="Times New Roman" w:cs="Times New Roman"/>
          <w:sz w:val="24"/>
          <w:szCs w:val="24"/>
        </w:rPr>
        <w:lastRenderedPageBreak/>
        <w:t xml:space="preserve">behavior akin to S, such that atmospheric reactions may also have generated MIF for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isotopes.</w:t>
      </w:r>
    </w:p>
    <w:p w:rsidR="00F609AC" w:rsidRPr="00F609AC" w:rsidRDefault="00F609AC" w:rsidP="00F609AC">
      <w:p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This study attempts to address these four issues using multiple collector inductively coupled plasma mass spectrometry (MC-ICPMS). In the past,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isotopic compositions have been determined by neutron activation analysis (Ballad et al 1979, Oliver et al 1981), positive ion thermal ionization mass spectrometry (Smith et al 1978, De </w:t>
      </w:r>
      <w:proofErr w:type="spellStart"/>
      <w:r w:rsidRPr="00F609AC">
        <w:rPr>
          <w:rFonts w:ascii="Times New Roman" w:eastAsia="Times New Roman" w:hAnsi="Times New Roman" w:cs="Times New Roman"/>
          <w:sz w:val="24"/>
          <w:szCs w:val="24"/>
        </w:rPr>
        <w:t>Laeter</w:t>
      </w:r>
      <w:proofErr w:type="spellEnd"/>
      <w:r w:rsidRPr="00F609AC">
        <w:rPr>
          <w:rFonts w:ascii="Times New Roman" w:eastAsia="Times New Roman" w:hAnsi="Times New Roman" w:cs="Times New Roman"/>
          <w:sz w:val="24"/>
          <w:szCs w:val="24"/>
        </w:rPr>
        <w:t xml:space="preserve"> and Rosman 1984, Smith and De </w:t>
      </w:r>
      <w:proofErr w:type="spellStart"/>
      <w:r w:rsidRPr="00F609AC">
        <w:rPr>
          <w:rFonts w:ascii="Times New Roman" w:eastAsia="Times New Roman" w:hAnsi="Times New Roman" w:cs="Times New Roman"/>
          <w:sz w:val="24"/>
          <w:szCs w:val="24"/>
        </w:rPr>
        <w:t>Laeter</w:t>
      </w:r>
      <w:proofErr w:type="spellEnd"/>
      <w:r w:rsidRPr="00F609AC">
        <w:rPr>
          <w:rFonts w:ascii="Times New Roman" w:eastAsia="Times New Roman" w:hAnsi="Times New Roman" w:cs="Times New Roman"/>
          <w:sz w:val="24"/>
          <w:szCs w:val="24"/>
        </w:rPr>
        <w:t xml:space="preserve"> 1986), negative ion thermal ionization mass spectrometry (</w:t>
      </w:r>
      <w:proofErr w:type="spellStart"/>
      <w:r w:rsidRPr="00F609AC">
        <w:rPr>
          <w:rFonts w:ascii="Times New Roman" w:eastAsia="Times New Roman" w:hAnsi="Times New Roman" w:cs="Times New Roman"/>
          <w:sz w:val="24"/>
          <w:szCs w:val="24"/>
        </w:rPr>
        <w:t>Wachsmann</w:t>
      </w:r>
      <w:proofErr w:type="spellEnd"/>
      <w:r w:rsidRPr="00F609AC">
        <w:rPr>
          <w:rFonts w:ascii="Times New Roman" w:eastAsia="Times New Roman" w:hAnsi="Times New Roman" w:cs="Times New Roman"/>
          <w:sz w:val="24"/>
          <w:szCs w:val="24"/>
        </w:rPr>
        <w:t xml:space="preserve"> and </w:t>
      </w:r>
      <w:proofErr w:type="spellStart"/>
      <w:r w:rsidRPr="00F609AC">
        <w:rPr>
          <w:rFonts w:ascii="Times New Roman" w:eastAsia="Times New Roman" w:hAnsi="Times New Roman" w:cs="Times New Roman"/>
          <w:sz w:val="24"/>
          <w:szCs w:val="24"/>
        </w:rPr>
        <w:t>Heumann</w:t>
      </w:r>
      <w:proofErr w:type="spellEnd"/>
      <w:r w:rsidRPr="00F609AC">
        <w:rPr>
          <w:rFonts w:ascii="Times New Roman" w:eastAsia="Times New Roman" w:hAnsi="Times New Roman" w:cs="Times New Roman"/>
          <w:sz w:val="24"/>
          <w:szCs w:val="24"/>
        </w:rPr>
        <w:t xml:space="preserve"> 1992, Richter et al 1998), and MC-ICPMS (Lee and Halliday 1995, Fehr et al 2004). Of these, MC-ICPMS provides the best precision combined with excellent sensitivity. In the present study, the MC-ICPMS techniques of Fehr et al. (2004) were used to determine the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 compositions of Archean sulfides, bulk samples of several carbonaceous, ordinary and enstatite chondrites as well as the metal and sulfide phases of iron meteorites.</w:t>
      </w:r>
    </w:p>
    <w:p w:rsidR="00F609AC" w:rsidRPr="00F609AC" w:rsidRDefault="00F609AC" w:rsidP="00F609AC">
      <w:pPr>
        <w:spacing w:before="100" w:beforeAutospacing="1" w:after="100" w:afterAutospacing="1" w:line="240" w:lineRule="auto"/>
        <w:outlineLvl w:val="1"/>
        <w:rPr>
          <w:rFonts w:ascii="Times New Roman" w:eastAsia="Times New Roman" w:hAnsi="Times New Roman" w:cs="Times New Roman"/>
          <w:b/>
          <w:bCs/>
          <w:sz w:val="36"/>
          <w:szCs w:val="36"/>
        </w:rPr>
      </w:pPr>
      <w:r w:rsidRPr="00F609AC">
        <w:rPr>
          <w:rFonts w:ascii="Times New Roman" w:eastAsia="Times New Roman" w:hAnsi="Times New Roman" w:cs="Times New Roman"/>
          <w:b/>
          <w:bCs/>
          <w:sz w:val="36"/>
          <w:szCs w:val="36"/>
        </w:rPr>
        <w:t>Section snippets</w:t>
      </w:r>
    </w:p>
    <w:p w:rsidR="00F609AC" w:rsidRPr="00F609AC" w:rsidRDefault="00F609AC" w:rsidP="00F609AC">
      <w:pPr>
        <w:spacing w:before="100" w:beforeAutospacing="1" w:after="100" w:afterAutospacing="1" w:line="240" w:lineRule="auto"/>
        <w:outlineLvl w:val="1"/>
        <w:rPr>
          <w:rFonts w:ascii="Times New Roman" w:eastAsia="Times New Roman" w:hAnsi="Times New Roman" w:cs="Times New Roman"/>
          <w:b/>
          <w:bCs/>
          <w:sz w:val="36"/>
          <w:szCs w:val="36"/>
        </w:rPr>
      </w:pPr>
      <w:r w:rsidRPr="00F609AC">
        <w:rPr>
          <w:rFonts w:ascii="Times New Roman" w:eastAsia="Times New Roman" w:hAnsi="Times New Roman" w:cs="Times New Roman"/>
          <w:b/>
          <w:bCs/>
          <w:sz w:val="36"/>
          <w:szCs w:val="36"/>
        </w:rPr>
        <w:t>Terrestrial Sulfides</w:t>
      </w:r>
    </w:p>
    <w:p w:rsidR="00F609AC" w:rsidRPr="00F609AC" w:rsidRDefault="00F609AC" w:rsidP="00F609AC">
      <w:p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Five Archean sedimentary pyrites as well as two more recent terrestrial sulfides, a pyrite and a pyrrhotite, were analyzed in the present study (Table 1). For the latter samples, which were previously analyzed by Fehr et al. (2004), only the mean results of several individual analyses are reported. The Precambrian sulfides are from the Fortescue Group in the </w:t>
      </w:r>
      <w:proofErr w:type="spellStart"/>
      <w:r w:rsidRPr="00F609AC">
        <w:rPr>
          <w:rFonts w:ascii="Times New Roman" w:eastAsia="Times New Roman" w:hAnsi="Times New Roman" w:cs="Times New Roman"/>
          <w:sz w:val="24"/>
          <w:szCs w:val="24"/>
        </w:rPr>
        <w:t>Hamersly</w:t>
      </w:r>
      <w:proofErr w:type="spellEnd"/>
      <w:r w:rsidRPr="00F609AC">
        <w:rPr>
          <w:rFonts w:ascii="Times New Roman" w:eastAsia="Times New Roman" w:hAnsi="Times New Roman" w:cs="Times New Roman"/>
          <w:sz w:val="24"/>
          <w:szCs w:val="24"/>
        </w:rPr>
        <w:t xml:space="preserve"> Basin, Western Australia, and they have ages of </w:t>
      </w:r>
      <w:r w:rsidRPr="00F609AC">
        <w:rPr>
          <w:rFonts w:ascii="Cambria Math" w:eastAsia="Times New Roman" w:hAnsi="Cambria Math" w:cs="Cambria Math"/>
          <w:sz w:val="24"/>
          <w:szCs w:val="24"/>
        </w:rPr>
        <w:t>∼</w:t>
      </w:r>
      <w:r w:rsidRPr="00F609AC">
        <w:rPr>
          <w:rFonts w:ascii="Times New Roman" w:eastAsia="Times New Roman" w:hAnsi="Times New Roman" w:cs="Times New Roman"/>
          <w:sz w:val="24"/>
          <w:szCs w:val="24"/>
        </w:rPr>
        <w:t>2.7 Ga (Arndt et al., 1991). The S isotope compositions of these samples were</w:t>
      </w:r>
    </w:p>
    <w:p w:rsidR="00F609AC" w:rsidRPr="00F609AC" w:rsidRDefault="00F609AC" w:rsidP="00F609AC">
      <w:pPr>
        <w:spacing w:before="100" w:beforeAutospacing="1" w:after="100" w:afterAutospacing="1" w:line="240" w:lineRule="auto"/>
        <w:outlineLvl w:val="1"/>
        <w:rPr>
          <w:rFonts w:ascii="Times New Roman" w:eastAsia="Times New Roman" w:hAnsi="Times New Roman" w:cs="Times New Roman"/>
          <w:b/>
          <w:bCs/>
          <w:sz w:val="36"/>
          <w:szCs w:val="36"/>
        </w:rPr>
      </w:pPr>
      <w:r w:rsidRPr="00F609AC">
        <w:rPr>
          <w:rFonts w:ascii="Times New Roman" w:eastAsia="Times New Roman" w:hAnsi="Times New Roman" w:cs="Times New Roman"/>
          <w:b/>
          <w:bCs/>
          <w:sz w:val="36"/>
          <w:szCs w:val="36"/>
        </w:rPr>
        <w:t>Analytical procedures</w:t>
      </w:r>
    </w:p>
    <w:p w:rsidR="00F609AC" w:rsidRPr="00F609AC" w:rsidRDefault="00F609AC" w:rsidP="00F609AC">
      <w:p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The chemical and mass spectrometric techniques follow the methods described in Fehr et al. (2004). The most important aspects of the procedures and any modifications are outlined below.</w:t>
      </w:r>
    </w:p>
    <w:p w:rsidR="00F609AC" w:rsidRPr="00F609AC" w:rsidRDefault="00F609AC" w:rsidP="00F609AC">
      <w:pPr>
        <w:spacing w:before="100" w:beforeAutospacing="1" w:after="100" w:afterAutospacing="1" w:line="240" w:lineRule="auto"/>
        <w:outlineLvl w:val="1"/>
        <w:rPr>
          <w:rFonts w:ascii="Times New Roman" w:eastAsia="Times New Roman" w:hAnsi="Times New Roman" w:cs="Times New Roman"/>
          <w:b/>
          <w:bCs/>
          <w:sz w:val="36"/>
          <w:szCs w:val="36"/>
        </w:rPr>
      </w:pPr>
      <w:r w:rsidRPr="00F609AC">
        <w:rPr>
          <w:rFonts w:ascii="Times New Roman" w:eastAsia="Times New Roman" w:hAnsi="Times New Roman" w:cs="Times New Roman"/>
          <w:b/>
          <w:bCs/>
          <w:sz w:val="36"/>
          <w:szCs w:val="36"/>
        </w:rPr>
        <w:t>Tin and Tellurium Concentrations</w:t>
      </w:r>
    </w:p>
    <w:p w:rsidR="00F609AC" w:rsidRPr="00F609AC" w:rsidRDefault="00F609AC" w:rsidP="00F609AC">
      <w:p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The Sn and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concentrations for chondrites, iron meteorites and terrestrial sulfides are shown in Table 3. For some samples, such as the troilite inclusions of Canyon Diablo and Toluca, these are the first published Sn and/or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concentration data. Individual digestions of Allende obtained with either a Teflon-lined steel bomb (</w:t>
      </w:r>
      <w:r w:rsidRPr="00F609AC">
        <w:rPr>
          <w:rFonts w:ascii="Times New Roman" w:eastAsia="Times New Roman" w:hAnsi="Times New Roman" w:cs="Times New Roman"/>
          <w:i/>
          <w:iCs/>
          <w:sz w:val="24"/>
          <w:szCs w:val="24"/>
        </w:rPr>
        <w:t>n</w:t>
      </w:r>
      <w:r w:rsidRPr="00F609AC">
        <w:rPr>
          <w:rFonts w:ascii="Times New Roman" w:eastAsia="Times New Roman" w:hAnsi="Times New Roman" w:cs="Times New Roman"/>
          <w:sz w:val="24"/>
          <w:szCs w:val="24"/>
        </w:rPr>
        <w:t xml:space="preserve"> = 2) or a high-pressure </w:t>
      </w:r>
      <w:proofErr w:type="spellStart"/>
      <w:r w:rsidRPr="00F609AC">
        <w:rPr>
          <w:rFonts w:ascii="Times New Roman" w:eastAsia="Times New Roman" w:hAnsi="Times New Roman" w:cs="Times New Roman"/>
          <w:sz w:val="24"/>
          <w:szCs w:val="24"/>
        </w:rPr>
        <w:t>asher</w:t>
      </w:r>
      <w:proofErr w:type="spellEnd"/>
      <w:r w:rsidRPr="00F609AC">
        <w:rPr>
          <w:rFonts w:ascii="Times New Roman" w:eastAsia="Times New Roman" w:hAnsi="Times New Roman" w:cs="Times New Roman"/>
          <w:sz w:val="24"/>
          <w:szCs w:val="24"/>
        </w:rPr>
        <w:t xml:space="preserve"> (HPA-S, </w:t>
      </w:r>
      <w:r w:rsidRPr="00F609AC">
        <w:rPr>
          <w:rFonts w:ascii="Times New Roman" w:eastAsia="Times New Roman" w:hAnsi="Times New Roman" w:cs="Times New Roman"/>
          <w:i/>
          <w:iCs/>
          <w:sz w:val="24"/>
          <w:szCs w:val="24"/>
        </w:rPr>
        <w:t>n</w:t>
      </w:r>
      <w:r w:rsidRPr="00F609AC">
        <w:rPr>
          <w:rFonts w:ascii="Times New Roman" w:eastAsia="Times New Roman" w:hAnsi="Times New Roman" w:cs="Times New Roman"/>
          <w:sz w:val="24"/>
          <w:szCs w:val="24"/>
        </w:rPr>
        <w:t xml:space="preserve"> = 3) show a reproducibility (2s) of 12% for the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and of 10% for the Sn concentration. The </w:t>
      </w:r>
      <w:r w:rsidRPr="00F609AC">
        <w:rPr>
          <w:rFonts w:ascii="Times New Roman" w:eastAsia="Times New Roman" w:hAnsi="Times New Roman" w:cs="Times New Roman"/>
          <w:sz w:val="24"/>
          <w:szCs w:val="24"/>
          <w:vertAlign w:val="superscript"/>
        </w:rPr>
        <w:t>118</w:t>
      </w:r>
      <w:r w:rsidRPr="00F609AC">
        <w:rPr>
          <w:rFonts w:ascii="Times New Roman" w:eastAsia="Times New Roman" w:hAnsi="Times New Roman" w:cs="Times New Roman"/>
          <w:sz w:val="24"/>
          <w:szCs w:val="24"/>
        </w:rPr>
        <w:t>Sn/</w:t>
      </w:r>
      <w:r w:rsidRPr="00F609AC">
        <w:rPr>
          <w:rFonts w:ascii="Times New Roman" w:eastAsia="Times New Roman" w:hAnsi="Times New Roman" w:cs="Times New Roman"/>
          <w:sz w:val="24"/>
          <w:szCs w:val="24"/>
          <w:vertAlign w:val="superscript"/>
        </w:rPr>
        <w:t>128</w:t>
      </w:r>
      <w:r w:rsidRPr="00F609AC">
        <w:rPr>
          <w:rFonts w:ascii="Times New Roman" w:eastAsia="Times New Roman" w:hAnsi="Times New Roman" w:cs="Times New Roman"/>
          <w:sz w:val="24"/>
          <w:szCs w:val="24"/>
        </w:rPr>
        <w:t>Te ratios determined for</w:t>
      </w:r>
    </w:p>
    <w:p w:rsidR="00F609AC" w:rsidRPr="00F609AC" w:rsidRDefault="00F609AC" w:rsidP="00F609AC">
      <w:pPr>
        <w:spacing w:before="100" w:beforeAutospacing="1" w:after="100" w:afterAutospacing="1" w:line="240" w:lineRule="auto"/>
        <w:outlineLvl w:val="1"/>
        <w:rPr>
          <w:rFonts w:ascii="Times New Roman" w:eastAsia="Times New Roman" w:hAnsi="Times New Roman" w:cs="Times New Roman"/>
          <w:b/>
          <w:bCs/>
          <w:sz w:val="36"/>
          <w:szCs w:val="36"/>
        </w:rPr>
      </w:pPr>
      <w:r w:rsidRPr="00F609AC">
        <w:rPr>
          <w:rFonts w:ascii="Times New Roman" w:eastAsia="Times New Roman" w:hAnsi="Times New Roman" w:cs="Times New Roman"/>
          <w:b/>
          <w:bCs/>
          <w:sz w:val="36"/>
          <w:szCs w:val="36"/>
        </w:rPr>
        <w:t>Stable isotope fractionation of tellurium</w:t>
      </w:r>
    </w:p>
    <w:p w:rsidR="00F609AC" w:rsidRPr="00F609AC" w:rsidRDefault="00F609AC" w:rsidP="00F609AC">
      <w:p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The general chemical and geochemical behavior of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 similar to that of S and Se, and the latter elements display significant stable isotope fractionations in nature. Biologic processes typically generate large mass-dependent S isotope effects of up to 15% (Nielsen 1979, </w:t>
      </w:r>
      <w:proofErr w:type="spellStart"/>
      <w:r w:rsidRPr="00F609AC">
        <w:rPr>
          <w:rFonts w:ascii="Times New Roman" w:eastAsia="Times New Roman" w:hAnsi="Times New Roman" w:cs="Times New Roman"/>
          <w:sz w:val="24"/>
          <w:szCs w:val="24"/>
        </w:rPr>
        <w:t>Schidlowski</w:t>
      </w:r>
      <w:proofErr w:type="spellEnd"/>
      <w:r w:rsidRPr="00F609AC">
        <w:rPr>
          <w:rFonts w:ascii="Times New Roman" w:eastAsia="Times New Roman" w:hAnsi="Times New Roman" w:cs="Times New Roman"/>
          <w:sz w:val="24"/>
          <w:szCs w:val="24"/>
        </w:rPr>
        <w:t xml:space="preserve"> et al 1983) and Se isotopes have been observed to vary by as much as 1.5% in low temperature </w:t>
      </w:r>
      <w:r w:rsidRPr="00F609AC">
        <w:rPr>
          <w:rFonts w:ascii="Times New Roman" w:eastAsia="Times New Roman" w:hAnsi="Times New Roman" w:cs="Times New Roman"/>
          <w:sz w:val="24"/>
          <w:szCs w:val="24"/>
        </w:rPr>
        <w:lastRenderedPageBreak/>
        <w:t xml:space="preserve">environments, mainly due to the inorganic and biologic reduction of various Se species (Johnson et al 1999, Rouxel et al </w:t>
      </w:r>
    </w:p>
    <w:p w:rsidR="00F609AC" w:rsidRPr="00F609AC" w:rsidRDefault="00F609AC" w:rsidP="00F609AC">
      <w:pPr>
        <w:spacing w:before="100" w:beforeAutospacing="1" w:after="100" w:afterAutospacing="1" w:line="240" w:lineRule="auto"/>
        <w:outlineLvl w:val="1"/>
        <w:rPr>
          <w:rFonts w:ascii="Times New Roman" w:eastAsia="Times New Roman" w:hAnsi="Times New Roman" w:cs="Times New Roman"/>
          <w:b/>
          <w:bCs/>
          <w:sz w:val="36"/>
          <w:szCs w:val="36"/>
        </w:rPr>
      </w:pPr>
      <w:r w:rsidRPr="00F609AC">
        <w:rPr>
          <w:rFonts w:ascii="Times New Roman" w:eastAsia="Times New Roman" w:hAnsi="Times New Roman" w:cs="Times New Roman"/>
          <w:b/>
          <w:bCs/>
          <w:sz w:val="36"/>
          <w:szCs w:val="36"/>
        </w:rPr>
        <w:t>Conclusions</w:t>
      </w:r>
    </w:p>
    <w:p w:rsidR="00F609AC" w:rsidRPr="00F609AC" w:rsidRDefault="00F609AC" w:rsidP="00F609AC">
      <w:p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New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isotopic data shows that chondrites, sulfide and metal separates of iron meteorites, and the Earth have identical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 compositions. The results provide no evidence of stable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 fractionations of larger than 2‰ for δ</w:t>
      </w:r>
      <w:r w:rsidRPr="00F609AC">
        <w:rPr>
          <w:rFonts w:ascii="Times New Roman" w:eastAsia="Times New Roman" w:hAnsi="Times New Roman" w:cs="Times New Roman"/>
          <w:sz w:val="24"/>
          <w:szCs w:val="24"/>
          <w:vertAlign w:val="superscript"/>
        </w:rPr>
        <w:t>126/128</w:t>
      </w:r>
      <w:r w:rsidRPr="00F609AC">
        <w:rPr>
          <w:rFonts w:ascii="Times New Roman" w:eastAsia="Times New Roman" w:hAnsi="Times New Roman" w:cs="Times New Roman"/>
          <w:sz w:val="24"/>
          <w:szCs w:val="24"/>
        </w:rPr>
        <w:t xml:space="preserve">Te. Precambrian sulfides, which exhibit large mass-independent fractionations for S isotopes, furthermore display no such effects for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w:t>
      </w:r>
    </w:p>
    <w:p w:rsidR="00F609AC" w:rsidRPr="00F609AC" w:rsidRDefault="00F609AC" w:rsidP="00F609AC">
      <w:p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 xml:space="preserve">The meteorite data suggests that solar system materials were well mixed on a large scale in terms of </w:t>
      </w:r>
      <w:proofErr w:type="spellStart"/>
      <w:r w:rsidRPr="00F609AC">
        <w:rPr>
          <w:rFonts w:ascii="Times New Roman" w:eastAsia="Times New Roman" w:hAnsi="Times New Roman" w:cs="Times New Roman"/>
          <w:sz w:val="24"/>
          <w:szCs w:val="24"/>
        </w:rPr>
        <w:t>Te</w:t>
      </w:r>
      <w:proofErr w:type="spellEnd"/>
      <w:r w:rsidRPr="00F609AC">
        <w:rPr>
          <w:rFonts w:ascii="Times New Roman" w:eastAsia="Times New Roman" w:hAnsi="Times New Roman" w:cs="Times New Roman"/>
          <w:sz w:val="24"/>
          <w:szCs w:val="24"/>
        </w:rPr>
        <w:t xml:space="preserve"> isotope</w:t>
      </w:r>
    </w:p>
    <w:p w:rsidR="00F609AC" w:rsidRPr="00F609AC" w:rsidRDefault="00F609AC" w:rsidP="00F609AC">
      <w:pPr>
        <w:spacing w:before="100" w:beforeAutospacing="1" w:after="100" w:afterAutospacing="1" w:line="240" w:lineRule="auto"/>
        <w:outlineLvl w:val="1"/>
        <w:rPr>
          <w:rFonts w:ascii="Times New Roman" w:eastAsia="Times New Roman" w:hAnsi="Times New Roman" w:cs="Times New Roman"/>
          <w:b/>
          <w:bCs/>
          <w:sz w:val="36"/>
          <w:szCs w:val="36"/>
        </w:rPr>
      </w:pPr>
      <w:r w:rsidRPr="00F609AC">
        <w:rPr>
          <w:rFonts w:ascii="Times New Roman" w:eastAsia="Times New Roman" w:hAnsi="Times New Roman" w:cs="Times New Roman"/>
          <w:b/>
          <w:bCs/>
          <w:sz w:val="36"/>
          <w:szCs w:val="36"/>
        </w:rPr>
        <w:t>Acknowledgements</w:t>
      </w:r>
    </w:p>
    <w:p w:rsidR="00F609AC" w:rsidRPr="00F609AC" w:rsidRDefault="00F609AC" w:rsidP="00F609AC">
      <w:pPr>
        <w:spacing w:before="100" w:beforeAutospacing="1" w:after="100" w:afterAutospacing="1" w:line="240" w:lineRule="auto"/>
        <w:rPr>
          <w:rFonts w:ascii="Times New Roman" w:eastAsia="Times New Roman" w:hAnsi="Times New Roman" w:cs="Times New Roman"/>
          <w:sz w:val="24"/>
          <w:szCs w:val="24"/>
        </w:rPr>
      </w:pPr>
      <w:r w:rsidRPr="00F609AC">
        <w:rPr>
          <w:rFonts w:ascii="Times New Roman" w:eastAsia="Times New Roman" w:hAnsi="Times New Roman" w:cs="Times New Roman"/>
          <w:sz w:val="24"/>
          <w:szCs w:val="24"/>
        </w:rPr>
        <w:t>We thank Der-</w:t>
      </w:r>
      <w:proofErr w:type="spellStart"/>
      <w:r w:rsidRPr="00F609AC">
        <w:rPr>
          <w:rFonts w:ascii="Times New Roman" w:eastAsia="Times New Roman" w:hAnsi="Times New Roman" w:cs="Times New Roman"/>
          <w:sz w:val="24"/>
          <w:szCs w:val="24"/>
        </w:rPr>
        <w:t>Chuen</w:t>
      </w:r>
      <w:proofErr w:type="spellEnd"/>
      <w:r w:rsidRPr="00F609AC">
        <w:rPr>
          <w:rFonts w:ascii="Times New Roman" w:eastAsia="Times New Roman" w:hAnsi="Times New Roman" w:cs="Times New Roman"/>
          <w:sz w:val="24"/>
          <w:szCs w:val="24"/>
        </w:rPr>
        <w:t xml:space="preserve"> Lee, Sarah Woodland, Maria </w:t>
      </w:r>
      <w:proofErr w:type="spellStart"/>
      <w:r w:rsidRPr="00F609AC">
        <w:rPr>
          <w:rFonts w:ascii="Times New Roman" w:eastAsia="Times New Roman" w:hAnsi="Times New Roman" w:cs="Times New Roman"/>
          <w:sz w:val="24"/>
          <w:szCs w:val="24"/>
        </w:rPr>
        <w:t>Schönbächler</w:t>
      </w:r>
      <w:proofErr w:type="spellEnd"/>
      <w:r w:rsidRPr="00F609AC">
        <w:rPr>
          <w:rFonts w:ascii="Times New Roman" w:eastAsia="Times New Roman" w:hAnsi="Times New Roman" w:cs="Times New Roman"/>
          <w:sz w:val="24"/>
          <w:szCs w:val="24"/>
        </w:rPr>
        <w:t xml:space="preserve">, and Don </w:t>
      </w:r>
      <w:proofErr w:type="spellStart"/>
      <w:r w:rsidRPr="00F609AC">
        <w:rPr>
          <w:rFonts w:ascii="Times New Roman" w:eastAsia="Times New Roman" w:hAnsi="Times New Roman" w:cs="Times New Roman"/>
          <w:sz w:val="24"/>
          <w:szCs w:val="24"/>
        </w:rPr>
        <w:t>Porcelli</w:t>
      </w:r>
      <w:proofErr w:type="spellEnd"/>
      <w:r w:rsidRPr="00F609AC">
        <w:rPr>
          <w:rFonts w:ascii="Times New Roman" w:eastAsia="Times New Roman" w:hAnsi="Times New Roman" w:cs="Times New Roman"/>
          <w:sz w:val="24"/>
          <w:szCs w:val="24"/>
        </w:rPr>
        <w:t xml:space="preserve"> for many helpful discussions. We are grateful to Glenn MacPherson, Brigitte </w:t>
      </w:r>
      <w:proofErr w:type="spellStart"/>
      <w:r w:rsidRPr="00F609AC">
        <w:rPr>
          <w:rFonts w:ascii="Times New Roman" w:eastAsia="Times New Roman" w:hAnsi="Times New Roman" w:cs="Times New Roman"/>
          <w:sz w:val="24"/>
          <w:szCs w:val="24"/>
        </w:rPr>
        <w:t>Zanda</w:t>
      </w:r>
      <w:proofErr w:type="spellEnd"/>
      <w:r w:rsidRPr="00F609AC">
        <w:rPr>
          <w:rFonts w:ascii="Times New Roman" w:eastAsia="Times New Roman" w:hAnsi="Times New Roman" w:cs="Times New Roman"/>
          <w:sz w:val="24"/>
          <w:szCs w:val="24"/>
        </w:rPr>
        <w:t>, Marilyn Lindstrom, and Meenakshi Wadhwa for providing samples from the meteorite collections of the Smithsonian Institution of Washington, the Natural History Museum in Paris, NASA and the Field Museum of Chicago, respectively. We would like to thank Kate Freeman for making the Precambrian sulfide mineral separates available to us, Rio</w:t>
      </w:r>
    </w:p>
    <w:p w:rsidR="0062445C" w:rsidRDefault="0062445C"/>
    <w:sectPr w:rsidR="0062445C">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4234E18"/>
    <w:multiLevelType w:val="multilevel"/>
    <w:tmpl w:val="8BC0B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9AC"/>
    <w:rsid w:val="0062445C"/>
    <w:rsid w:val="00F609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9C895E"/>
  <w15:chartTrackingRefBased/>
  <w15:docId w15:val="{8B992E38-AAD7-42B2-B010-9B53912EFB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1343129">
      <w:bodyDiv w:val="1"/>
      <w:marLeft w:val="0"/>
      <w:marRight w:val="0"/>
      <w:marTop w:val="0"/>
      <w:marBottom w:val="0"/>
      <w:divBdr>
        <w:top w:val="none" w:sz="0" w:space="0" w:color="auto"/>
        <w:left w:val="none" w:sz="0" w:space="0" w:color="auto"/>
        <w:bottom w:val="none" w:sz="0" w:space="0" w:color="auto"/>
        <w:right w:val="none" w:sz="0" w:space="0" w:color="auto"/>
      </w:divBdr>
      <w:divsChild>
        <w:div w:id="1727558594">
          <w:marLeft w:val="0"/>
          <w:marRight w:val="0"/>
          <w:marTop w:val="0"/>
          <w:marBottom w:val="0"/>
          <w:divBdr>
            <w:top w:val="none" w:sz="0" w:space="0" w:color="auto"/>
            <w:left w:val="none" w:sz="0" w:space="0" w:color="auto"/>
            <w:bottom w:val="none" w:sz="0" w:space="0" w:color="auto"/>
            <w:right w:val="none" w:sz="0" w:space="0" w:color="auto"/>
          </w:divBdr>
          <w:divsChild>
            <w:div w:id="1388801735">
              <w:marLeft w:val="0"/>
              <w:marRight w:val="0"/>
              <w:marTop w:val="0"/>
              <w:marBottom w:val="0"/>
              <w:divBdr>
                <w:top w:val="none" w:sz="0" w:space="0" w:color="auto"/>
                <w:left w:val="none" w:sz="0" w:space="0" w:color="auto"/>
                <w:bottom w:val="none" w:sz="0" w:space="0" w:color="auto"/>
                <w:right w:val="none" w:sz="0" w:space="0" w:color="auto"/>
              </w:divBdr>
              <w:divsChild>
                <w:div w:id="1538615846">
                  <w:marLeft w:val="0"/>
                  <w:marRight w:val="0"/>
                  <w:marTop w:val="0"/>
                  <w:marBottom w:val="0"/>
                  <w:divBdr>
                    <w:top w:val="none" w:sz="0" w:space="0" w:color="auto"/>
                    <w:left w:val="none" w:sz="0" w:space="0" w:color="auto"/>
                    <w:bottom w:val="none" w:sz="0" w:space="0" w:color="auto"/>
                    <w:right w:val="none" w:sz="0" w:space="0" w:color="auto"/>
                  </w:divBdr>
                  <w:divsChild>
                    <w:div w:id="163325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885648">
          <w:marLeft w:val="0"/>
          <w:marRight w:val="0"/>
          <w:marTop w:val="0"/>
          <w:marBottom w:val="0"/>
          <w:divBdr>
            <w:top w:val="none" w:sz="0" w:space="0" w:color="auto"/>
            <w:left w:val="none" w:sz="0" w:space="0" w:color="auto"/>
            <w:bottom w:val="none" w:sz="0" w:space="0" w:color="auto"/>
            <w:right w:val="none" w:sz="0" w:space="0" w:color="auto"/>
          </w:divBdr>
          <w:divsChild>
            <w:div w:id="878513976">
              <w:marLeft w:val="0"/>
              <w:marRight w:val="0"/>
              <w:marTop w:val="0"/>
              <w:marBottom w:val="0"/>
              <w:divBdr>
                <w:top w:val="none" w:sz="0" w:space="0" w:color="auto"/>
                <w:left w:val="none" w:sz="0" w:space="0" w:color="auto"/>
                <w:bottom w:val="none" w:sz="0" w:space="0" w:color="auto"/>
                <w:right w:val="none" w:sz="0" w:space="0" w:color="auto"/>
              </w:divBdr>
              <w:divsChild>
                <w:div w:id="1262449460">
                  <w:marLeft w:val="0"/>
                  <w:marRight w:val="0"/>
                  <w:marTop w:val="0"/>
                  <w:marBottom w:val="0"/>
                  <w:divBdr>
                    <w:top w:val="none" w:sz="0" w:space="0" w:color="auto"/>
                    <w:left w:val="none" w:sz="0" w:space="0" w:color="auto"/>
                    <w:bottom w:val="none" w:sz="0" w:space="0" w:color="auto"/>
                    <w:right w:val="none" w:sz="0" w:space="0" w:color="auto"/>
                  </w:divBdr>
                  <w:divsChild>
                    <w:div w:id="198550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77424">
          <w:marLeft w:val="0"/>
          <w:marRight w:val="0"/>
          <w:marTop w:val="0"/>
          <w:marBottom w:val="0"/>
          <w:divBdr>
            <w:top w:val="none" w:sz="0" w:space="0" w:color="auto"/>
            <w:left w:val="none" w:sz="0" w:space="0" w:color="auto"/>
            <w:bottom w:val="none" w:sz="0" w:space="0" w:color="auto"/>
            <w:right w:val="none" w:sz="0" w:space="0" w:color="auto"/>
          </w:divBdr>
          <w:divsChild>
            <w:div w:id="772211844">
              <w:marLeft w:val="0"/>
              <w:marRight w:val="0"/>
              <w:marTop w:val="0"/>
              <w:marBottom w:val="0"/>
              <w:divBdr>
                <w:top w:val="none" w:sz="0" w:space="0" w:color="auto"/>
                <w:left w:val="none" w:sz="0" w:space="0" w:color="auto"/>
                <w:bottom w:val="none" w:sz="0" w:space="0" w:color="auto"/>
                <w:right w:val="none" w:sz="0" w:space="0" w:color="auto"/>
              </w:divBdr>
            </w:div>
          </w:divsChild>
        </w:div>
        <w:div w:id="1930775241">
          <w:marLeft w:val="0"/>
          <w:marRight w:val="0"/>
          <w:marTop w:val="0"/>
          <w:marBottom w:val="0"/>
          <w:divBdr>
            <w:top w:val="none" w:sz="0" w:space="0" w:color="auto"/>
            <w:left w:val="none" w:sz="0" w:space="0" w:color="auto"/>
            <w:bottom w:val="none" w:sz="0" w:space="0" w:color="auto"/>
            <w:right w:val="none" w:sz="0" w:space="0" w:color="auto"/>
          </w:divBdr>
          <w:divsChild>
            <w:div w:id="180685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isotope-ratio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sciencedirect.com/topics/earth-and-planetary-sciences/iron-meteorit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inductively-coupled-plasma-mass-spectrometry" TargetMode="External"/><Relationship Id="rId11" Type="http://schemas.openxmlformats.org/officeDocument/2006/relationships/hyperlink" Target="https://www.sciencedirect.com/topics/earth-and-planetary-sciences/isotope-effect" TargetMode="External"/><Relationship Id="rId5" Type="http://schemas.openxmlformats.org/officeDocument/2006/relationships/hyperlink" Target="https://doi.org/10.1016/j.gca.2005.04.020" TargetMode="External"/><Relationship Id="rId10" Type="http://schemas.openxmlformats.org/officeDocument/2006/relationships/hyperlink" Target="https://www.sciencedirect.com/topics/earth-and-planetary-sciences/carbonaceous-chondrite" TargetMode="External"/><Relationship Id="rId4" Type="http://schemas.openxmlformats.org/officeDocument/2006/relationships/webSettings" Target="webSettings.xml"/><Relationship Id="rId9" Type="http://schemas.openxmlformats.org/officeDocument/2006/relationships/hyperlink" Target="https://www.sciencedirect.com/topics/earth-and-planetary-sciences/meteorite-parent-bod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1682</Words>
  <Characters>9594</Characters>
  <Application>Microsoft Office Word</Application>
  <DocSecurity>0</DocSecurity>
  <Lines>79</Lines>
  <Paragraphs>22</Paragraphs>
  <ScaleCrop>false</ScaleCrop>
  <Company/>
  <LinksUpToDate>false</LinksUpToDate>
  <CharactersWithSpaces>11254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2023-11-11T07:35:00Z</dcterms:created>
  <dcterms:modified xsi:type="dcterms:W3CDTF">2023-11-11T07:36:00Z</dcterms:modified>
</cp:coreProperties>
</file>