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F7E72" w:rsidRPr="00FF7E72" w:rsidRDefault="00FF7E72" w:rsidP="00FF7E72">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F7E72">
        <w:rPr>
          <w:rFonts w:ascii="Times New Roman" w:eastAsia="Times New Roman" w:hAnsi="Times New Roman" w:cs="Times New Roman"/>
          <w:b/>
          <w:bCs/>
          <w:kern w:val="36"/>
          <w:sz w:val="48"/>
          <w:szCs w:val="48"/>
        </w:rPr>
        <w:t>Fe-Mg order-disorder in orthopyroxenes</w:t>
      </w:r>
    </w:p>
    <w:bookmarkStart w:id="0" w:name="_GoBack"/>
    <w:bookmarkEnd w:id="0"/>
    <w:p w:rsidR="00FF7E72" w:rsidRPr="00FF7E72" w:rsidRDefault="00FF7E72" w:rsidP="00FF7E72">
      <w:pPr>
        <w:spacing w:after="0"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fldChar w:fldCharType="begin"/>
      </w:r>
      <w:r w:rsidRPr="00FF7E72">
        <w:rPr>
          <w:rFonts w:ascii="Times New Roman" w:eastAsia="Times New Roman" w:hAnsi="Times New Roman" w:cs="Times New Roman"/>
          <w:sz w:val="24"/>
          <w:szCs w:val="24"/>
        </w:rPr>
        <w:instrText xml:space="preserve"> HYPERLINK "https://doi.org/10.1016/j.gca.2005.08.011" \o "Persistent link using digital object identifier" \t "_blank" </w:instrText>
      </w:r>
      <w:r w:rsidRPr="00FF7E72">
        <w:rPr>
          <w:rFonts w:ascii="Times New Roman" w:eastAsia="Times New Roman" w:hAnsi="Times New Roman" w:cs="Times New Roman"/>
          <w:sz w:val="24"/>
          <w:szCs w:val="24"/>
        </w:rPr>
        <w:fldChar w:fldCharType="separate"/>
      </w:r>
      <w:r w:rsidRPr="00FF7E72">
        <w:rPr>
          <w:rFonts w:ascii="Times New Roman" w:eastAsia="Times New Roman" w:hAnsi="Times New Roman" w:cs="Times New Roman"/>
          <w:color w:val="0000FF"/>
          <w:sz w:val="24"/>
          <w:szCs w:val="24"/>
          <w:u w:val="single"/>
        </w:rPr>
        <w:t>https://doi.org/10.1016/j.gca.2005.08.011</w:t>
      </w:r>
      <w:r w:rsidRPr="00FF7E72">
        <w:rPr>
          <w:rFonts w:ascii="Times New Roman" w:eastAsia="Times New Roman" w:hAnsi="Times New Roman" w:cs="Times New Roman"/>
          <w:sz w:val="24"/>
          <w:szCs w:val="24"/>
        </w:rPr>
        <w:fldChar w:fldCharType="end"/>
      </w:r>
      <w:hyperlink r:id="rId4" w:tgtFrame="_blank" w:history="1">
        <w:r w:rsidRPr="00FF7E72">
          <w:rPr>
            <w:rFonts w:ascii="Times New Roman" w:eastAsia="Times New Roman" w:hAnsi="Times New Roman" w:cs="Times New Roman"/>
            <w:color w:val="0000FF"/>
            <w:sz w:val="24"/>
            <w:szCs w:val="24"/>
            <w:u w:val="single"/>
          </w:rPr>
          <w:t>Get rights and content</w:t>
        </w:r>
      </w:hyperlink>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Abstract</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Published data on the distribution of Fe and Mg between the two distinct octahedral sites (M1 and M2) in </w:t>
      </w:r>
      <w:hyperlink r:id="rId5" w:tooltip="Learn more about orthopyroxenes from ScienceDirect's AI-generated Topic Pages" w:history="1">
        <w:r w:rsidRPr="00FF7E72">
          <w:rPr>
            <w:rFonts w:ascii="Times New Roman" w:eastAsia="Times New Roman" w:hAnsi="Times New Roman" w:cs="Times New Roman"/>
            <w:color w:val="0000FF"/>
            <w:sz w:val="24"/>
            <w:szCs w:val="24"/>
            <w:u w:val="single"/>
          </w:rPr>
          <w:t>orthopyroxenes</w:t>
        </w:r>
      </w:hyperlink>
      <w:r w:rsidRPr="00FF7E72">
        <w:rPr>
          <w:rFonts w:ascii="Times New Roman" w:eastAsia="Times New Roman" w:hAnsi="Times New Roman" w:cs="Times New Roman"/>
          <w:sz w:val="24"/>
          <w:szCs w:val="24"/>
        </w:rPr>
        <w:t xml:space="preserve"> show that the equilibrium Fe-Mg distribution coefficient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is roughly constant at intermediate </w:t>
      </w:r>
      <w:proofErr w:type="spellStart"/>
      <w:r w:rsidRPr="00FF7E72">
        <w:rPr>
          <w:rFonts w:ascii="Times New Roman" w:eastAsia="Times New Roman" w:hAnsi="Times New Roman" w:cs="Times New Roman"/>
          <w:sz w:val="24"/>
          <w:szCs w:val="24"/>
        </w:rPr>
        <w:t>ferrosilite</w:t>
      </w:r>
      <w:proofErr w:type="spellEnd"/>
      <w:r w:rsidRPr="00FF7E72">
        <w:rPr>
          <w:rFonts w:ascii="Times New Roman" w:eastAsia="Times New Roman" w:hAnsi="Times New Roman" w:cs="Times New Roman"/>
          <w:sz w:val="24"/>
          <w:szCs w:val="24"/>
        </w:rPr>
        <w:t xml:space="preserve"> content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of 0.2 to 0.6) but at low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(&lt;0.2) is either anomalously high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data) or low (XRD data) compared to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at intermediate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We report an experimental study on the equilibrium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values for two natural single crystals of orthopyroxene (with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of 0.011 and 0.160) using a high-sensitivity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w:t>
      </w:r>
      <w:hyperlink r:id="rId6" w:tooltip="Learn more about spectrometer from ScienceDirect's AI-generated Topic Pages" w:history="1">
        <w:r w:rsidRPr="00FF7E72">
          <w:rPr>
            <w:rFonts w:ascii="Times New Roman" w:eastAsia="Times New Roman" w:hAnsi="Times New Roman" w:cs="Times New Roman"/>
            <w:color w:val="0000FF"/>
            <w:sz w:val="24"/>
            <w:szCs w:val="24"/>
            <w:u w:val="single"/>
          </w:rPr>
          <w:t>spectrometer</w:t>
        </w:r>
      </w:hyperlink>
      <w:r w:rsidRPr="00FF7E72">
        <w:rPr>
          <w:rFonts w:ascii="Times New Roman" w:eastAsia="Times New Roman" w:hAnsi="Times New Roman" w:cs="Times New Roman"/>
          <w:sz w:val="24"/>
          <w:szCs w:val="24"/>
        </w:rPr>
        <w:t xml:space="preserve">. The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values were determined at 1 bar and temperatures between 600 and 1000°C, and reversed at 600 to 900°C. The values are found to be independent of orthopyroxene composition at a given temperature within analytical uncertainties, and in agreement with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values at intermediate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A least-squares fit to the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data yields: </w:t>
      </w:r>
      <w:proofErr w:type="spellStart"/>
      <w:r w:rsidRPr="00FF7E72">
        <w:rPr>
          <w:rFonts w:ascii="Times New Roman" w:eastAsia="Times New Roman" w:hAnsi="Times New Roman" w:cs="Times New Roman"/>
          <w:sz w:val="24"/>
          <w:szCs w:val="24"/>
        </w:rPr>
        <w:t>ln</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proofErr w:type="spellEnd"/>
      <w:r w:rsidRPr="00FF7E72">
        <w:rPr>
          <w:rFonts w:ascii="Times New Roman" w:eastAsia="Times New Roman" w:hAnsi="Times New Roman" w:cs="Times New Roman"/>
          <w:sz w:val="24"/>
          <w:szCs w:val="24"/>
        </w:rPr>
        <w:t xml:space="preserve"> = 0.391(±0.131) − 2205(±141)/</w:t>
      </w:r>
      <w:r w:rsidRPr="00FF7E72">
        <w:rPr>
          <w:rFonts w:ascii="Times New Roman" w:eastAsia="Times New Roman" w:hAnsi="Times New Roman" w:cs="Times New Roman"/>
          <w:i/>
          <w:iCs/>
          <w:sz w:val="24"/>
          <w:szCs w:val="24"/>
        </w:rPr>
        <w:t>T</w:t>
      </w:r>
      <w:r w:rsidRPr="00FF7E72">
        <w:rPr>
          <w:rFonts w:ascii="Times New Roman" w:eastAsia="Times New Roman" w:hAnsi="Times New Roman" w:cs="Times New Roman"/>
          <w:sz w:val="24"/>
          <w:szCs w:val="24"/>
        </w:rPr>
        <w:t xml:space="preserve">, where </w:t>
      </w:r>
      <w:r w:rsidRPr="00FF7E72">
        <w:rPr>
          <w:rFonts w:ascii="Times New Roman" w:eastAsia="Times New Roman" w:hAnsi="Times New Roman" w:cs="Times New Roman"/>
          <w:i/>
          <w:iCs/>
          <w:sz w:val="24"/>
          <w:szCs w:val="24"/>
        </w:rPr>
        <w:t>T</w:t>
      </w:r>
      <w:r w:rsidRPr="00FF7E72">
        <w:rPr>
          <w:rFonts w:ascii="Times New Roman" w:eastAsia="Times New Roman" w:hAnsi="Times New Roman" w:cs="Times New Roman"/>
          <w:sz w:val="24"/>
          <w:szCs w:val="24"/>
        </w:rPr>
        <w:t xml:space="preserve"> is temperature in K, and uncertainties are at the 2σ level. This equation is valid for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values up to at least 0.6. We suggest that previous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and XRD data at low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were compromised by analytical difficulties. The new result that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is roughly independent of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greatly simplifies treatment of equilibrium and </w:t>
      </w:r>
      <w:proofErr w:type="spellStart"/>
      <w:r w:rsidRPr="00FF7E72">
        <w:rPr>
          <w:rFonts w:ascii="Times New Roman" w:eastAsia="Times New Roman" w:hAnsi="Times New Roman" w:cs="Times New Roman"/>
          <w:sz w:val="24"/>
          <w:szCs w:val="24"/>
        </w:rPr>
        <w:t>speedometry</w:t>
      </w:r>
      <w:proofErr w:type="spellEnd"/>
      <w:r w:rsidRPr="00FF7E72">
        <w:rPr>
          <w:rFonts w:ascii="Times New Roman" w:eastAsia="Times New Roman" w:hAnsi="Times New Roman" w:cs="Times New Roman"/>
          <w:sz w:val="24"/>
          <w:szCs w:val="24"/>
        </w:rPr>
        <w:t xml:space="preserve"> based on Fe-Mg order-disorder in orthopyroxene.</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Introduction</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Orthopyroxene is a common mineral in terrestrial rocks and meteorites. There are two common end-members, enstatite (</w:t>
      </w:r>
      <w:proofErr w:type="spellStart"/>
      <w:r w:rsidRPr="00FF7E72">
        <w:rPr>
          <w:rFonts w:ascii="Times New Roman" w:eastAsia="Times New Roman" w:hAnsi="Times New Roman" w:cs="Times New Roman"/>
          <w:sz w:val="24"/>
          <w:szCs w:val="24"/>
        </w:rPr>
        <w:t>En</w:t>
      </w:r>
      <w:proofErr w:type="spellEnd"/>
      <w:r w:rsidRPr="00FF7E72">
        <w:rPr>
          <w:rFonts w:ascii="Times New Roman" w:eastAsia="Times New Roman" w:hAnsi="Times New Roman" w:cs="Times New Roman"/>
          <w:sz w:val="24"/>
          <w:szCs w:val="24"/>
        </w:rPr>
        <w:t>), Mg</w:t>
      </w:r>
      <w:r w:rsidRPr="00FF7E72">
        <w:rPr>
          <w:rFonts w:ascii="Times New Roman" w:eastAsia="Times New Roman" w:hAnsi="Times New Roman" w:cs="Times New Roman"/>
          <w:sz w:val="24"/>
          <w:szCs w:val="24"/>
          <w:vertAlign w:val="subscript"/>
        </w:rPr>
        <w:t>2</w:t>
      </w:r>
      <w:r w:rsidRPr="00FF7E72">
        <w:rPr>
          <w:rFonts w:ascii="Times New Roman" w:eastAsia="Times New Roman" w:hAnsi="Times New Roman" w:cs="Times New Roman"/>
          <w:sz w:val="24"/>
          <w:szCs w:val="24"/>
        </w:rPr>
        <w:t>Si</w:t>
      </w:r>
      <w:r w:rsidRPr="00FF7E72">
        <w:rPr>
          <w:rFonts w:ascii="Times New Roman" w:eastAsia="Times New Roman" w:hAnsi="Times New Roman" w:cs="Times New Roman"/>
          <w:sz w:val="24"/>
          <w:szCs w:val="24"/>
          <w:vertAlign w:val="subscript"/>
        </w:rPr>
        <w:t>2</w:t>
      </w:r>
      <w:r w:rsidRPr="00FF7E72">
        <w:rPr>
          <w:rFonts w:ascii="Times New Roman" w:eastAsia="Times New Roman" w:hAnsi="Times New Roman" w:cs="Times New Roman"/>
          <w:sz w:val="24"/>
          <w:szCs w:val="24"/>
        </w:rPr>
        <w:t>O</w:t>
      </w:r>
      <w:r w:rsidRPr="00FF7E72">
        <w:rPr>
          <w:rFonts w:ascii="Times New Roman" w:eastAsia="Times New Roman" w:hAnsi="Times New Roman" w:cs="Times New Roman"/>
          <w:sz w:val="24"/>
          <w:szCs w:val="24"/>
          <w:vertAlign w:val="subscript"/>
        </w:rPr>
        <w:t>6</w:t>
      </w:r>
      <w:r w:rsidRPr="00FF7E72">
        <w:rPr>
          <w:rFonts w:ascii="Times New Roman" w:eastAsia="Times New Roman" w:hAnsi="Times New Roman" w:cs="Times New Roman"/>
          <w:sz w:val="24"/>
          <w:szCs w:val="24"/>
        </w:rPr>
        <w:t xml:space="preserve">, and </w:t>
      </w:r>
      <w:proofErr w:type="spellStart"/>
      <w:r w:rsidRPr="00FF7E72">
        <w:rPr>
          <w:rFonts w:ascii="Times New Roman" w:eastAsia="Times New Roman" w:hAnsi="Times New Roman" w:cs="Times New Roman"/>
          <w:sz w:val="24"/>
          <w:szCs w:val="24"/>
        </w:rPr>
        <w:t>ferrosilite</w:t>
      </w:r>
      <w:proofErr w:type="spellEnd"/>
      <w:r w:rsidRPr="00FF7E72">
        <w:rPr>
          <w:rFonts w:ascii="Times New Roman" w:eastAsia="Times New Roman" w:hAnsi="Times New Roman" w:cs="Times New Roman"/>
          <w:sz w:val="24"/>
          <w:szCs w:val="24"/>
        </w:rPr>
        <w:t xml:space="preserve"> (Fs), Fe</w:t>
      </w:r>
      <w:r w:rsidRPr="00FF7E72">
        <w:rPr>
          <w:rFonts w:ascii="Times New Roman" w:eastAsia="Times New Roman" w:hAnsi="Times New Roman" w:cs="Times New Roman"/>
          <w:sz w:val="24"/>
          <w:szCs w:val="24"/>
          <w:vertAlign w:val="subscript"/>
        </w:rPr>
        <w:t>2</w:t>
      </w:r>
      <w:r w:rsidRPr="00FF7E72">
        <w:rPr>
          <w:rFonts w:ascii="Times New Roman" w:eastAsia="Times New Roman" w:hAnsi="Times New Roman" w:cs="Times New Roman"/>
          <w:sz w:val="24"/>
          <w:szCs w:val="24"/>
        </w:rPr>
        <w:t>Si</w:t>
      </w:r>
      <w:r w:rsidRPr="00FF7E72">
        <w:rPr>
          <w:rFonts w:ascii="Times New Roman" w:eastAsia="Times New Roman" w:hAnsi="Times New Roman" w:cs="Times New Roman"/>
          <w:sz w:val="24"/>
          <w:szCs w:val="24"/>
          <w:vertAlign w:val="subscript"/>
        </w:rPr>
        <w:t>2</w:t>
      </w:r>
      <w:r w:rsidRPr="00FF7E72">
        <w:rPr>
          <w:rFonts w:ascii="Times New Roman" w:eastAsia="Times New Roman" w:hAnsi="Times New Roman" w:cs="Times New Roman"/>
          <w:sz w:val="24"/>
          <w:szCs w:val="24"/>
        </w:rPr>
        <w:t>O</w:t>
      </w:r>
      <w:r w:rsidRPr="00FF7E72">
        <w:rPr>
          <w:rFonts w:ascii="Times New Roman" w:eastAsia="Times New Roman" w:hAnsi="Times New Roman" w:cs="Times New Roman"/>
          <w:sz w:val="24"/>
          <w:szCs w:val="24"/>
          <w:vertAlign w:val="subscript"/>
        </w:rPr>
        <w:t>6</w:t>
      </w:r>
      <w:r w:rsidRPr="00FF7E72">
        <w:rPr>
          <w:rFonts w:ascii="Times New Roman" w:eastAsia="Times New Roman" w:hAnsi="Times New Roman" w:cs="Times New Roman"/>
          <w:sz w:val="24"/>
          <w:szCs w:val="24"/>
        </w:rPr>
        <w:t xml:space="preserve">, which form a solid solution that is stable over a wide range of temperature and pressure. Orthopyroxene has two </w:t>
      </w:r>
      <w:proofErr w:type="spellStart"/>
      <w:r w:rsidRPr="00FF7E72">
        <w:rPr>
          <w:rFonts w:ascii="Times New Roman" w:eastAsia="Times New Roman" w:hAnsi="Times New Roman" w:cs="Times New Roman"/>
          <w:sz w:val="24"/>
          <w:szCs w:val="24"/>
        </w:rPr>
        <w:t>crystallographically</w:t>
      </w:r>
      <w:proofErr w:type="spellEnd"/>
      <w:r w:rsidRPr="00FF7E72">
        <w:rPr>
          <w:rFonts w:ascii="Times New Roman" w:eastAsia="Times New Roman" w:hAnsi="Times New Roman" w:cs="Times New Roman"/>
          <w:sz w:val="24"/>
          <w:szCs w:val="24"/>
        </w:rPr>
        <w:t xml:space="preserve"> distinct octahedral sites, M1 and M2 in the structure, with Fe</w:t>
      </w:r>
      <w:r w:rsidRPr="00FF7E72">
        <w:rPr>
          <w:rFonts w:ascii="Times New Roman" w:eastAsia="Times New Roman" w:hAnsi="Times New Roman" w:cs="Times New Roman"/>
          <w:sz w:val="24"/>
          <w:szCs w:val="24"/>
          <w:vertAlign w:val="superscript"/>
        </w:rPr>
        <w:t>2+</w:t>
      </w:r>
      <w:r w:rsidRPr="00FF7E72">
        <w:rPr>
          <w:rFonts w:ascii="Times New Roman" w:eastAsia="Times New Roman" w:hAnsi="Times New Roman" w:cs="Times New Roman"/>
          <w:sz w:val="24"/>
          <w:szCs w:val="24"/>
        </w:rPr>
        <w:t xml:space="preserve"> (referred to as Fe hereafter) preferring the larger and more distorted M2 site and Mg</w:t>
      </w:r>
      <w:r w:rsidRPr="00FF7E72">
        <w:rPr>
          <w:rFonts w:ascii="Times New Roman" w:eastAsia="Times New Roman" w:hAnsi="Times New Roman" w:cs="Times New Roman"/>
          <w:sz w:val="24"/>
          <w:szCs w:val="24"/>
          <w:vertAlign w:val="superscript"/>
        </w:rPr>
        <w:t>2+</w:t>
      </w:r>
      <w:r w:rsidRPr="00FF7E72">
        <w:rPr>
          <w:rFonts w:ascii="Times New Roman" w:eastAsia="Times New Roman" w:hAnsi="Times New Roman" w:cs="Times New Roman"/>
          <w:sz w:val="24"/>
          <w:szCs w:val="24"/>
        </w:rPr>
        <w:t xml:space="preserve"> (referred to as Mg hereafter) preferring M1 (Ghose, 1965). The Fe-Mg distribution between the two sites is of great interest because of its effect on the thermodynamic property of orthopyroxene and its potential application to the determination of cooling history of terrestrial and extraterrestrial rocks (Ghose and Hafner 1967, Virgo and Hafner 1970, </w:t>
      </w:r>
      <w:proofErr w:type="spellStart"/>
      <w:r w:rsidRPr="00FF7E72">
        <w:rPr>
          <w:rFonts w:ascii="Times New Roman" w:eastAsia="Times New Roman" w:hAnsi="Times New Roman" w:cs="Times New Roman"/>
          <w:sz w:val="24"/>
          <w:szCs w:val="24"/>
        </w:rPr>
        <w:t>Anovitz</w:t>
      </w:r>
      <w:proofErr w:type="spellEnd"/>
      <w:r w:rsidRPr="00FF7E72">
        <w:rPr>
          <w:rFonts w:ascii="Times New Roman" w:eastAsia="Times New Roman" w:hAnsi="Times New Roman" w:cs="Times New Roman"/>
          <w:sz w:val="24"/>
          <w:szCs w:val="24"/>
        </w:rPr>
        <w:t xml:space="preserve"> et al 1988, </w:t>
      </w:r>
      <w:proofErr w:type="spellStart"/>
      <w:r w:rsidRPr="00FF7E72">
        <w:rPr>
          <w:rFonts w:ascii="Times New Roman" w:eastAsia="Times New Roman" w:hAnsi="Times New Roman" w:cs="Times New Roman"/>
          <w:sz w:val="24"/>
          <w:szCs w:val="24"/>
        </w:rPr>
        <w:t>Skogby</w:t>
      </w:r>
      <w:proofErr w:type="spellEnd"/>
      <w:r w:rsidRPr="00FF7E72">
        <w:rPr>
          <w:rFonts w:ascii="Times New Roman" w:eastAsia="Times New Roman" w:hAnsi="Times New Roman" w:cs="Times New Roman"/>
          <w:sz w:val="24"/>
          <w:szCs w:val="24"/>
        </w:rPr>
        <w:t xml:space="preserve"> 1992, </w:t>
      </w:r>
      <w:proofErr w:type="spellStart"/>
      <w:r w:rsidRPr="00FF7E72">
        <w:rPr>
          <w:rFonts w:ascii="Times New Roman" w:eastAsia="Times New Roman" w:hAnsi="Times New Roman" w:cs="Times New Roman"/>
          <w:sz w:val="24"/>
          <w:szCs w:val="24"/>
        </w:rPr>
        <w:t>Ganguly</w:t>
      </w:r>
      <w:proofErr w:type="spellEnd"/>
      <w:r w:rsidRPr="00FF7E72">
        <w:rPr>
          <w:rFonts w:ascii="Times New Roman" w:eastAsia="Times New Roman" w:hAnsi="Times New Roman" w:cs="Times New Roman"/>
          <w:sz w:val="24"/>
          <w:szCs w:val="24"/>
        </w:rPr>
        <w:t xml:space="preserve"> et al 1994, Zhang 1994, </w:t>
      </w:r>
      <w:proofErr w:type="spellStart"/>
      <w:r w:rsidRPr="00FF7E72">
        <w:rPr>
          <w:rFonts w:ascii="Times New Roman" w:eastAsia="Times New Roman" w:hAnsi="Times New Roman" w:cs="Times New Roman"/>
          <w:sz w:val="24"/>
          <w:szCs w:val="24"/>
        </w:rPr>
        <w:t>Ganguly</w:t>
      </w:r>
      <w:proofErr w:type="spellEnd"/>
      <w:r w:rsidRPr="00FF7E72">
        <w:rPr>
          <w:rFonts w:ascii="Times New Roman" w:eastAsia="Times New Roman" w:hAnsi="Times New Roman" w:cs="Times New Roman"/>
          <w:sz w:val="24"/>
          <w:szCs w:val="24"/>
        </w:rPr>
        <w:t xml:space="preserve"> and </w:t>
      </w:r>
      <w:proofErr w:type="spellStart"/>
      <w:r w:rsidRPr="00FF7E72">
        <w:rPr>
          <w:rFonts w:ascii="Times New Roman" w:eastAsia="Times New Roman" w:hAnsi="Times New Roman" w:cs="Times New Roman"/>
          <w:sz w:val="24"/>
          <w:szCs w:val="24"/>
        </w:rPr>
        <w:t>Domeneghetti</w:t>
      </w:r>
      <w:proofErr w:type="spellEnd"/>
      <w:r w:rsidRPr="00FF7E72">
        <w:rPr>
          <w:rFonts w:ascii="Times New Roman" w:eastAsia="Times New Roman" w:hAnsi="Times New Roman" w:cs="Times New Roman"/>
          <w:sz w:val="24"/>
          <w:szCs w:val="24"/>
        </w:rPr>
        <w:t xml:space="preserve"> 1996, </w:t>
      </w:r>
      <w:proofErr w:type="spellStart"/>
      <w:r w:rsidRPr="00FF7E72">
        <w:rPr>
          <w:rFonts w:ascii="Times New Roman" w:eastAsia="Times New Roman" w:hAnsi="Times New Roman" w:cs="Times New Roman"/>
          <w:sz w:val="24"/>
          <w:szCs w:val="24"/>
        </w:rPr>
        <w:t>Zema</w:t>
      </w:r>
      <w:proofErr w:type="spellEnd"/>
      <w:r w:rsidRPr="00FF7E72">
        <w:rPr>
          <w:rFonts w:ascii="Times New Roman" w:eastAsia="Times New Roman" w:hAnsi="Times New Roman" w:cs="Times New Roman"/>
          <w:sz w:val="24"/>
          <w:szCs w:val="24"/>
        </w:rPr>
        <w:t xml:space="preserve"> et al 1996, Kroll et al 1997, </w:t>
      </w:r>
      <w:proofErr w:type="spellStart"/>
      <w:r w:rsidRPr="00FF7E72">
        <w:rPr>
          <w:rFonts w:ascii="Times New Roman" w:eastAsia="Times New Roman" w:hAnsi="Times New Roman" w:cs="Times New Roman"/>
          <w:sz w:val="24"/>
          <w:szCs w:val="24"/>
        </w:rPr>
        <w:t>Domeneghetti</w:t>
      </w:r>
      <w:proofErr w:type="spellEnd"/>
      <w:r w:rsidRPr="00FF7E72">
        <w:rPr>
          <w:rFonts w:ascii="Times New Roman" w:eastAsia="Times New Roman" w:hAnsi="Times New Roman" w:cs="Times New Roman"/>
          <w:sz w:val="24"/>
          <w:szCs w:val="24"/>
        </w:rPr>
        <w:t xml:space="preserve"> et al 2000, Heinemann et al 2000). These applications all rely on a knowledge of equilibrium distribution and exchange kinetics. Hence, considerable effort has been expended to quantify the equilibrium distribution of Mg and Fe between the M1 and M2 sites (Saxena and Ghose 1971, </w:t>
      </w:r>
      <w:proofErr w:type="spellStart"/>
      <w:r w:rsidRPr="00FF7E72">
        <w:rPr>
          <w:rFonts w:ascii="Times New Roman" w:eastAsia="Times New Roman" w:hAnsi="Times New Roman" w:cs="Times New Roman"/>
          <w:sz w:val="24"/>
          <w:szCs w:val="24"/>
        </w:rPr>
        <w:t>Ganguly</w:t>
      </w:r>
      <w:proofErr w:type="spellEnd"/>
      <w:r w:rsidRPr="00FF7E72">
        <w:rPr>
          <w:rFonts w:ascii="Times New Roman" w:eastAsia="Times New Roman" w:hAnsi="Times New Roman" w:cs="Times New Roman"/>
          <w:sz w:val="24"/>
          <w:szCs w:val="24"/>
        </w:rPr>
        <w:t xml:space="preserve"> 1982, </w:t>
      </w:r>
      <w:proofErr w:type="spellStart"/>
      <w:r w:rsidRPr="00FF7E72">
        <w:rPr>
          <w:rFonts w:ascii="Times New Roman" w:eastAsia="Times New Roman" w:hAnsi="Times New Roman" w:cs="Times New Roman"/>
          <w:sz w:val="24"/>
          <w:szCs w:val="24"/>
        </w:rPr>
        <w:t>Anovitz</w:t>
      </w:r>
      <w:proofErr w:type="spellEnd"/>
      <w:r w:rsidRPr="00FF7E72">
        <w:rPr>
          <w:rFonts w:ascii="Times New Roman" w:eastAsia="Times New Roman" w:hAnsi="Times New Roman" w:cs="Times New Roman"/>
          <w:sz w:val="24"/>
          <w:szCs w:val="24"/>
        </w:rPr>
        <w:t xml:space="preserve"> et al 1988, Shi et al 1992, Yang and Ghose 1994, Kroll et al 1997, </w:t>
      </w:r>
      <w:proofErr w:type="spellStart"/>
      <w:r w:rsidRPr="00FF7E72">
        <w:rPr>
          <w:rFonts w:ascii="Times New Roman" w:eastAsia="Times New Roman" w:hAnsi="Times New Roman" w:cs="Times New Roman"/>
          <w:sz w:val="24"/>
          <w:szCs w:val="24"/>
        </w:rPr>
        <w:t>Stimpfl</w:t>
      </w:r>
      <w:proofErr w:type="spellEnd"/>
      <w:r w:rsidRPr="00FF7E72">
        <w:rPr>
          <w:rFonts w:ascii="Times New Roman" w:eastAsia="Times New Roman" w:hAnsi="Times New Roman" w:cs="Times New Roman"/>
          <w:sz w:val="24"/>
          <w:szCs w:val="24"/>
        </w:rPr>
        <w:t xml:space="preserve"> et al 1999).</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The order-disorder reaction of Fe and Mg in orthopyroxene can be described by the following intracrystalline exchange reaction: </w:t>
      </w:r>
    </w:p>
    <w:p w:rsidR="00FF7E72" w:rsidRPr="00FF7E72" w:rsidRDefault="00FF7E72" w:rsidP="00FF7E72">
      <w:pPr>
        <w:spacing w:after="0"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for which an Fe-Mg distribution coefficient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between M1 and M2 sites can be defined as </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where for instance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 xml:space="preserve"> is the mole fraction of Fe in the M1 site. The intracrystalline Fe-Mg distribution and the kinetics of the order-disorder reaction for natural and synthetic orthopyroxenes have been extensively investigated for intermediate </w:t>
      </w:r>
      <w:proofErr w:type="spellStart"/>
      <w:r w:rsidRPr="00FF7E72">
        <w:rPr>
          <w:rFonts w:ascii="Times New Roman" w:eastAsia="Times New Roman" w:hAnsi="Times New Roman" w:cs="Times New Roman"/>
          <w:sz w:val="24"/>
          <w:szCs w:val="24"/>
        </w:rPr>
        <w:t>ferrosilite</w:t>
      </w:r>
      <w:proofErr w:type="spellEnd"/>
      <w:r w:rsidRPr="00FF7E72">
        <w:rPr>
          <w:rFonts w:ascii="Times New Roman" w:eastAsia="Times New Roman" w:hAnsi="Times New Roman" w:cs="Times New Roman"/>
          <w:sz w:val="24"/>
          <w:szCs w:val="24"/>
        </w:rPr>
        <w:t xml:space="preserve"> contents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of 0.2 to 0.8, where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refers to the mole fraction of </w:t>
      </w:r>
      <w:proofErr w:type="spellStart"/>
      <w:r w:rsidRPr="00FF7E72">
        <w:rPr>
          <w:rFonts w:ascii="Times New Roman" w:eastAsia="Times New Roman" w:hAnsi="Times New Roman" w:cs="Times New Roman"/>
          <w:sz w:val="24"/>
          <w:szCs w:val="24"/>
        </w:rPr>
        <w:t>ferrosilite</w:t>
      </w:r>
      <w:proofErr w:type="spellEnd"/>
      <w:r w:rsidRPr="00FF7E72">
        <w:rPr>
          <w:rFonts w:ascii="Times New Roman" w:eastAsia="Times New Roman" w:hAnsi="Times New Roman" w:cs="Times New Roman"/>
          <w:sz w:val="24"/>
          <w:szCs w:val="24"/>
        </w:rPr>
        <w:t xml:space="preserve"> component) using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spectroscopy (MS) and single-</w:t>
      </w:r>
      <w:r w:rsidRPr="00FF7E72">
        <w:rPr>
          <w:rFonts w:ascii="Times New Roman" w:eastAsia="Times New Roman" w:hAnsi="Times New Roman" w:cs="Times New Roman"/>
          <w:sz w:val="24"/>
          <w:szCs w:val="24"/>
        </w:rPr>
        <w:lastRenderedPageBreak/>
        <w:t xml:space="preserve">crystal X-ray diffraction (XRD) techniques (Virgo and Hafner 1969, Saxena and Ghose 1971, Besancon 1981, </w:t>
      </w:r>
      <w:proofErr w:type="spellStart"/>
      <w:r w:rsidRPr="00FF7E72">
        <w:rPr>
          <w:rFonts w:ascii="Times New Roman" w:eastAsia="Times New Roman" w:hAnsi="Times New Roman" w:cs="Times New Roman"/>
          <w:sz w:val="24"/>
          <w:szCs w:val="24"/>
        </w:rPr>
        <w:t>Anovitz</w:t>
      </w:r>
      <w:proofErr w:type="spellEnd"/>
      <w:r w:rsidRPr="00FF7E72">
        <w:rPr>
          <w:rFonts w:ascii="Times New Roman" w:eastAsia="Times New Roman" w:hAnsi="Times New Roman" w:cs="Times New Roman"/>
          <w:sz w:val="24"/>
          <w:szCs w:val="24"/>
        </w:rPr>
        <w:t xml:space="preserve"> et al 1988, Saxena et al 1989, Molin et al 1991, </w:t>
      </w:r>
      <w:proofErr w:type="spellStart"/>
      <w:r w:rsidRPr="00FF7E72">
        <w:rPr>
          <w:rFonts w:ascii="Times New Roman" w:eastAsia="Times New Roman" w:hAnsi="Times New Roman" w:cs="Times New Roman"/>
          <w:sz w:val="24"/>
          <w:szCs w:val="24"/>
        </w:rPr>
        <w:t>Skogby</w:t>
      </w:r>
      <w:proofErr w:type="spellEnd"/>
      <w:r w:rsidRPr="00FF7E72">
        <w:rPr>
          <w:rFonts w:ascii="Times New Roman" w:eastAsia="Times New Roman" w:hAnsi="Times New Roman" w:cs="Times New Roman"/>
          <w:sz w:val="24"/>
          <w:szCs w:val="24"/>
        </w:rPr>
        <w:t xml:space="preserve"> 1992, Yang and Ghose 1994, Kroll et al 1997, </w:t>
      </w:r>
      <w:proofErr w:type="spellStart"/>
      <w:r w:rsidRPr="00FF7E72">
        <w:rPr>
          <w:rFonts w:ascii="Times New Roman" w:eastAsia="Times New Roman" w:hAnsi="Times New Roman" w:cs="Times New Roman"/>
          <w:sz w:val="24"/>
          <w:szCs w:val="24"/>
        </w:rPr>
        <w:t>Stimpfl</w:t>
      </w:r>
      <w:proofErr w:type="spellEnd"/>
      <w:r w:rsidRPr="00FF7E72">
        <w:rPr>
          <w:rFonts w:ascii="Times New Roman" w:eastAsia="Times New Roman" w:hAnsi="Times New Roman" w:cs="Times New Roman"/>
          <w:sz w:val="24"/>
          <w:szCs w:val="24"/>
        </w:rPr>
        <w:t xml:space="preserve"> et al 1999, </w:t>
      </w:r>
      <w:proofErr w:type="spellStart"/>
      <w:r w:rsidRPr="00FF7E72">
        <w:rPr>
          <w:rFonts w:ascii="Times New Roman" w:eastAsia="Times New Roman" w:hAnsi="Times New Roman" w:cs="Times New Roman"/>
          <w:sz w:val="24"/>
          <w:szCs w:val="24"/>
        </w:rPr>
        <w:t>Schlenz</w:t>
      </w:r>
      <w:proofErr w:type="spellEnd"/>
      <w:r w:rsidRPr="00FF7E72">
        <w:rPr>
          <w:rFonts w:ascii="Times New Roman" w:eastAsia="Times New Roman" w:hAnsi="Times New Roman" w:cs="Times New Roman"/>
          <w:sz w:val="24"/>
          <w:szCs w:val="24"/>
        </w:rPr>
        <w:t xml:space="preserve"> et al 2001, </w:t>
      </w:r>
      <w:proofErr w:type="spellStart"/>
      <w:r w:rsidRPr="00FF7E72">
        <w:rPr>
          <w:rFonts w:ascii="Times New Roman" w:eastAsia="Times New Roman" w:hAnsi="Times New Roman" w:cs="Times New Roman"/>
          <w:sz w:val="24"/>
          <w:szCs w:val="24"/>
        </w:rPr>
        <w:t>Zema</w:t>
      </w:r>
      <w:proofErr w:type="spellEnd"/>
      <w:r w:rsidRPr="00FF7E72">
        <w:rPr>
          <w:rFonts w:ascii="Times New Roman" w:eastAsia="Times New Roman" w:hAnsi="Times New Roman" w:cs="Times New Roman"/>
          <w:sz w:val="24"/>
          <w:szCs w:val="24"/>
        </w:rPr>
        <w:t xml:space="preserve"> et al 2003). The most relevant compositions for an orthopyroxene from the terrestrial upper mantle and many meteorites are however, in the range of 0 &lt;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&lt; 0.2. The few data that are available for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&lt; 0.2 suggest a strong compositional dependence of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(e.g., </w:t>
      </w:r>
      <w:proofErr w:type="spellStart"/>
      <w:r w:rsidRPr="00FF7E72">
        <w:rPr>
          <w:rFonts w:ascii="Times New Roman" w:eastAsia="Times New Roman" w:hAnsi="Times New Roman" w:cs="Times New Roman"/>
          <w:sz w:val="24"/>
          <w:szCs w:val="24"/>
        </w:rPr>
        <w:t>Skogby</w:t>
      </w:r>
      <w:proofErr w:type="spellEnd"/>
      <w:r w:rsidRPr="00FF7E72">
        <w:rPr>
          <w:rFonts w:ascii="Times New Roman" w:eastAsia="Times New Roman" w:hAnsi="Times New Roman" w:cs="Times New Roman"/>
          <w:sz w:val="24"/>
          <w:szCs w:val="24"/>
        </w:rPr>
        <w:t xml:space="preserve"> 1992, Kroll et al 1997, </w:t>
      </w:r>
      <w:proofErr w:type="spellStart"/>
      <w:r w:rsidRPr="00FF7E72">
        <w:rPr>
          <w:rFonts w:ascii="Times New Roman" w:eastAsia="Times New Roman" w:hAnsi="Times New Roman" w:cs="Times New Roman"/>
          <w:sz w:val="24"/>
          <w:szCs w:val="24"/>
        </w:rPr>
        <w:t>Stimpfl</w:t>
      </w:r>
      <w:proofErr w:type="spellEnd"/>
      <w:r w:rsidRPr="00FF7E72">
        <w:rPr>
          <w:rFonts w:ascii="Times New Roman" w:eastAsia="Times New Roman" w:hAnsi="Times New Roman" w:cs="Times New Roman"/>
          <w:sz w:val="24"/>
          <w:szCs w:val="24"/>
        </w:rPr>
        <w:t xml:space="preserve"> et al 1999). These results are unexpected since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would normally be expected to be less compositionally dependent at low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(i.e., following the application of </w:t>
      </w:r>
      <w:proofErr w:type="spellStart"/>
      <w:r w:rsidRPr="00FF7E72">
        <w:rPr>
          <w:rFonts w:ascii="Times New Roman" w:eastAsia="Times New Roman" w:hAnsi="Times New Roman" w:cs="Times New Roman"/>
          <w:sz w:val="24"/>
          <w:szCs w:val="24"/>
        </w:rPr>
        <w:t>Raoult’s</w:t>
      </w:r>
      <w:proofErr w:type="spellEnd"/>
      <w:r w:rsidRPr="00FF7E72">
        <w:rPr>
          <w:rFonts w:ascii="Times New Roman" w:eastAsia="Times New Roman" w:hAnsi="Times New Roman" w:cs="Times New Roman"/>
          <w:sz w:val="24"/>
          <w:szCs w:val="24"/>
        </w:rPr>
        <w:t xml:space="preserve"> Law and Henry’s Law to Eqn. 2. The uncertainty of determining Fe in M1 site increases with decreasing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for both MS and XRD techniques, making it impossible to reliably extrapolate to magnesian orthopyroxenes (Kroll et al., 1997). Thus, a better constraint on Fe-Mg order-disorder in orthopyroxene with low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will contribute to a deeper understanding of this problem. Here we report results from an experimental investigation of Fe-Mg distribution between M1 and M2 sites in two magnesian orthopyroxenes with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of 0.011 and 0.16.</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Section snippets</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Sample description and preparation</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Two natural single crystals of orthopyroxene, </w:t>
      </w:r>
      <w:proofErr w:type="spellStart"/>
      <w:r w:rsidRPr="00FF7E72">
        <w:rPr>
          <w:rFonts w:ascii="Times New Roman" w:eastAsia="Times New Roman" w:hAnsi="Times New Roman" w:cs="Times New Roman"/>
          <w:sz w:val="24"/>
          <w:szCs w:val="24"/>
        </w:rPr>
        <w:t>En</w:t>
      </w:r>
      <w:proofErr w:type="spellEnd"/>
      <w:r w:rsidRPr="00FF7E72">
        <w:rPr>
          <w:rFonts w:ascii="Times New Roman" w:eastAsia="Times New Roman" w:hAnsi="Times New Roman" w:cs="Times New Roman"/>
          <w:sz w:val="24"/>
          <w:szCs w:val="24"/>
        </w:rPr>
        <w:t xml:space="preserve">-LMA and En-82161, were used in the current study. Sample </w:t>
      </w:r>
      <w:proofErr w:type="spellStart"/>
      <w:r w:rsidRPr="00FF7E72">
        <w:rPr>
          <w:rFonts w:ascii="Times New Roman" w:eastAsia="Times New Roman" w:hAnsi="Times New Roman" w:cs="Times New Roman"/>
          <w:sz w:val="24"/>
          <w:szCs w:val="24"/>
        </w:rPr>
        <w:t>En</w:t>
      </w:r>
      <w:proofErr w:type="spellEnd"/>
      <w:r w:rsidRPr="00FF7E72">
        <w:rPr>
          <w:rFonts w:ascii="Times New Roman" w:eastAsia="Times New Roman" w:hAnsi="Times New Roman" w:cs="Times New Roman"/>
          <w:sz w:val="24"/>
          <w:szCs w:val="24"/>
        </w:rPr>
        <w:t>-LMA (</w:t>
      </w:r>
      <w:r w:rsidRPr="00FF7E72">
        <w:rPr>
          <w:rFonts w:ascii="Cambria Math" w:eastAsia="Times New Roman" w:hAnsi="Cambria Math" w:cs="Cambria Math"/>
          <w:sz w:val="24"/>
          <w:szCs w:val="24"/>
        </w:rPr>
        <w:t>∼</w:t>
      </w:r>
      <w:r w:rsidRPr="00FF7E72">
        <w:rPr>
          <w:rFonts w:ascii="Times New Roman" w:eastAsia="Times New Roman" w:hAnsi="Times New Roman" w:cs="Times New Roman"/>
          <w:sz w:val="24"/>
          <w:szCs w:val="24"/>
        </w:rPr>
        <w:t xml:space="preserve"> 15 g) was kindly provided by L.M. </w:t>
      </w:r>
      <w:proofErr w:type="spellStart"/>
      <w:r w:rsidRPr="00FF7E72">
        <w:rPr>
          <w:rFonts w:ascii="Times New Roman" w:eastAsia="Times New Roman" w:hAnsi="Times New Roman" w:cs="Times New Roman"/>
          <w:sz w:val="24"/>
          <w:szCs w:val="24"/>
        </w:rPr>
        <w:t>Anovitz</w:t>
      </w:r>
      <w:proofErr w:type="spellEnd"/>
      <w:r w:rsidRPr="00FF7E72">
        <w:rPr>
          <w:rFonts w:ascii="Times New Roman" w:eastAsia="Times New Roman" w:hAnsi="Times New Roman" w:cs="Times New Roman"/>
          <w:sz w:val="24"/>
          <w:szCs w:val="24"/>
        </w:rPr>
        <w:t xml:space="preserve"> at the Oak Ridge National Laboratory, and sample En-82161 (</w:t>
      </w:r>
      <w:r w:rsidRPr="00FF7E72">
        <w:rPr>
          <w:rFonts w:ascii="Cambria Math" w:eastAsia="Times New Roman" w:hAnsi="Cambria Math" w:cs="Cambria Math"/>
          <w:sz w:val="24"/>
          <w:szCs w:val="24"/>
        </w:rPr>
        <w:t>∼</w:t>
      </w:r>
      <w:r w:rsidRPr="00FF7E72">
        <w:rPr>
          <w:rFonts w:ascii="Times New Roman" w:eastAsia="Times New Roman" w:hAnsi="Times New Roman" w:cs="Times New Roman"/>
          <w:sz w:val="24"/>
          <w:szCs w:val="24"/>
        </w:rPr>
        <w:t xml:space="preserve"> 0.8 g) by the American Museum of Natural History at New York (AMNH#82161). Sample </w:t>
      </w:r>
      <w:proofErr w:type="spellStart"/>
      <w:r w:rsidRPr="00FF7E72">
        <w:rPr>
          <w:rFonts w:ascii="Times New Roman" w:eastAsia="Times New Roman" w:hAnsi="Times New Roman" w:cs="Times New Roman"/>
          <w:sz w:val="24"/>
          <w:szCs w:val="24"/>
        </w:rPr>
        <w:t>En</w:t>
      </w:r>
      <w:proofErr w:type="spellEnd"/>
      <w:r w:rsidRPr="00FF7E72">
        <w:rPr>
          <w:rFonts w:ascii="Times New Roman" w:eastAsia="Times New Roman" w:hAnsi="Times New Roman" w:cs="Times New Roman"/>
          <w:sz w:val="24"/>
          <w:szCs w:val="24"/>
        </w:rPr>
        <w:t xml:space="preserve">-LMA was purchased at the Tucson Mineral Show, and was stated by the seller to be from </w:t>
      </w:r>
      <w:proofErr w:type="spellStart"/>
      <w:r w:rsidRPr="00FF7E72">
        <w:rPr>
          <w:rFonts w:ascii="Times New Roman" w:eastAsia="Times New Roman" w:hAnsi="Times New Roman" w:cs="Times New Roman"/>
          <w:sz w:val="24"/>
          <w:szCs w:val="24"/>
        </w:rPr>
        <w:t>Zabargad</w:t>
      </w:r>
      <w:proofErr w:type="spellEnd"/>
      <w:r w:rsidRPr="00FF7E72">
        <w:rPr>
          <w:rFonts w:ascii="Times New Roman" w:eastAsia="Times New Roman" w:hAnsi="Times New Roman" w:cs="Times New Roman"/>
          <w:sz w:val="24"/>
          <w:szCs w:val="24"/>
        </w:rPr>
        <w:t xml:space="preserve"> Island in the Red Sea. It is clouded by minute magnesite and talc inclusions (&lt; 100 </w:t>
      </w:r>
      <w:proofErr w:type="spellStart"/>
      <w:r w:rsidRPr="00FF7E72">
        <w:rPr>
          <w:rFonts w:ascii="Times New Roman" w:eastAsia="Times New Roman" w:hAnsi="Times New Roman" w:cs="Times New Roman"/>
          <w:sz w:val="24"/>
          <w:szCs w:val="24"/>
        </w:rPr>
        <w:t>μm</w:t>
      </w:r>
      <w:proofErr w:type="spellEnd"/>
      <w:r w:rsidRPr="00FF7E72">
        <w:rPr>
          <w:rFonts w:ascii="Times New Roman" w:eastAsia="Times New Roman" w:hAnsi="Times New Roman" w:cs="Times New Roman"/>
          <w:sz w:val="24"/>
          <w:szCs w:val="24"/>
        </w:rPr>
        <w:t xml:space="preserve"> across) in</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Heating Experiments</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A horizontal tube furnace was used in the heating experiments. The furnace was equipped with an automatic temperature controller and lined with a silica glass tube through which dry N</w:t>
      </w:r>
      <w:r w:rsidRPr="00FF7E72">
        <w:rPr>
          <w:rFonts w:ascii="Times New Roman" w:eastAsia="Times New Roman" w:hAnsi="Times New Roman" w:cs="Times New Roman"/>
          <w:sz w:val="24"/>
          <w:szCs w:val="24"/>
          <w:vertAlign w:val="subscript"/>
        </w:rPr>
        <w:t>2</w:t>
      </w:r>
      <w:r w:rsidRPr="00FF7E72">
        <w:rPr>
          <w:rFonts w:ascii="Times New Roman" w:eastAsia="Times New Roman" w:hAnsi="Times New Roman" w:cs="Times New Roman"/>
          <w:sz w:val="24"/>
          <w:szCs w:val="24"/>
        </w:rPr>
        <w:t xml:space="preserve"> gas could be passed during the heating. The controlling thermocouple (</w:t>
      </w:r>
      <w:proofErr w:type="spellStart"/>
      <w:r w:rsidRPr="00FF7E72">
        <w:rPr>
          <w:rFonts w:ascii="Times New Roman" w:eastAsia="Times New Roman" w:hAnsi="Times New Roman" w:cs="Times New Roman"/>
          <w:sz w:val="24"/>
          <w:szCs w:val="24"/>
        </w:rPr>
        <w:t>Platinel</w:t>
      </w:r>
      <w:proofErr w:type="spellEnd"/>
      <w:r w:rsidRPr="00FF7E72">
        <w:rPr>
          <w:rFonts w:ascii="Times New Roman" w:eastAsia="Times New Roman" w:hAnsi="Times New Roman" w:cs="Times New Roman"/>
          <w:sz w:val="24"/>
          <w:szCs w:val="24"/>
        </w:rPr>
        <w:t>-II: Pt</w:t>
      </w:r>
      <w:r w:rsidRPr="00FF7E72">
        <w:rPr>
          <w:rFonts w:ascii="Times New Roman" w:eastAsia="Times New Roman" w:hAnsi="Times New Roman" w:cs="Times New Roman"/>
          <w:sz w:val="24"/>
          <w:szCs w:val="24"/>
          <w:vertAlign w:val="subscript"/>
        </w:rPr>
        <w:t>35</w:t>
      </w:r>
      <w:r w:rsidRPr="00FF7E72">
        <w:rPr>
          <w:rFonts w:ascii="Times New Roman" w:eastAsia="Times New Roman" w:hAnsi="Times New Roman" w:cs="Times New Roman"/>
          <w:sz w:val="24"/>
          <w:szCs w:val="24"/>
        </w:rPr>
        <w:t>Au</w:t>
      </w:r>
      <w:r w:rsidRPr="00FF7E72">
        <w:rPr>
          <w:rFonts w:ascii="Times New Roman" w:eastAsia="Times New Roman" w:hAnsi="Times New Roman" w:cs="Times New Roman"/>
          <w:sz w:val="24"/>
          <w:szCs w:val="24"/>
          <w:vertAlign w:val="subscript"/>
        </w:rPr>
        <w:t>65</w:t>
      </w:r>
      <w:r w:rsidRPr="00FF7E72">
        <w:rPr>
          <w:rFonts w:ascii="Times New Roman" w:eastAsia="Times New Roman" w:hAnsi="Times New Roman" w:cs="Times New Roman"/>
          <w:sz w:val="24"/>
          <w:szCs w:val="24"/>
        </w:rPr>
        <w:t>/Pt</w:t>
      </w:r>
      <w:r w:rsidRPr="00FF7E72">
        <w:rPr>
          <w:rFonts w:ascii="Times New Roman" w:eastAsia="Times New Roman" w:hAnsi="Times New Roman" w:cs="Times New Roman"/>
          <w:sz w:val="24"/>
          <w:szCs w:val="24"/>
          <w:vertAlign w:val="subscript"/>
        </w:rPr>
        <w:t>17</w:t>
      </w:r>
      <w:r w:rsidRPr="00FF7E72">
        <w:rPr>
          <w:rFonts w:ascii="Times New Roman" w:eastAsia="Times New Roman" w:hAnsi="Times New Roman" w:cs="Times New Roman"/>
          <w:sz w:val="24"/>
          <w:szCs w:val="24"/>
        </w:rPr>
        <w:t>Pd</w:t>
      </w:r>
      <w:r w:rsidRPr="00FF7E72">
        <w:rPr>
          <w:rFonts w:ascii="Times New Roman" w:eastAsia="Times New Roman" w:hAnsi="Times New Roman" w:cs="Times New Roman"/>
          <w:sz w:val="24"/>
          <w:szCs w:val="24"/>
          <w:vertAlign w:val="subscript"/>
        </w:rPr>
        <w:t>83</w:t>
      </w:r>
      <w:r w:rsidRPr="00FF7E72">
        <w:rPr>
          <w:rFonts w:ascii="Times New Roman" w:eastAsia="Times New Roman" w:hAnsi="Times New Roman" w:cs="Times New Roman"/>
          <w:sz w:val="24"/>
          <w:szCs w:val="24"/>
        </w:rPr>
        <w:t>) was outside the silica tube and a second thermocouple (Type-S: Pt/Pt</w:t>
      </w:r>
      <w:r w:rsidRPr="00FF7E72">
        <w:rPr>
          <w:rFonts w:ascii="Times New Roman" w:eastAsia="Times New Roman" w:hAnsi="Times New Roman" w:cs="Times New Roman"/>
          <w:sz w:val="24"/>
          <w:szCs w:val="24"/>
          <w:vertAlign w:val="subscript"/>
        </w:rPr>
        <w:t>90</w:t>
      </w:r>
      <w:r w:rsidRPr="00FF7E72">
        <w:rPr>
          <w:rFonts w:ascii="Times New Roman" w:eastAsia="Times New Roman" w:hAnsi="Times New Roman" w:cs="Times New Roman"/>
          <w:sz w:val="24"/>
          <w:szCs w:val="24"/>
        </w:rPr>
        <w:t>Rh</w:t>
      </w:r>
      <w:r w:rsidRPr="00FF7E72">
        <w:rPr>
          <w:rFonts w:ascii="Times New Roman" w:eastAsia="Times New Roman" w:hAnsi="Times New Roman" w:cs="Times New Roman"/>
          <w:sz w:val="24"/>
          <w:szCs w:val="24"/>
          <w:vertAlign w:val="subscript"/>
        </w:rPr>
        <w:t>10</w:t>
      </w:r>
      <w:r w:rsidRPr="00FF7E72">
        <w:rPr>
          <w:rFonts w:ascii="Times New Roman" w:eastAsia="Times New Roman" w:hAnsi="Times New Roman" w:cs="Times New Roman"/>
          <w:sz w:val="24"/>
          <w:szCs w:val="24"/>
        </w:rPr>
        <w:t>) was inside the silica tube to record the experimental temperature. The inside thermocouple was calibrated against the melting point of</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Intracrystalline Fe-Mg Distribution Coefficient (</w:t>
      </w:r>
      <w:r w:rsidRPr="00FF7E72">
        <w:rPr>
          <w:rFonts w:ascii="Times New Roman" w:eastAsia="Times New Roman" w:hAnsi="Times New Roman" w:cs="Times New Roman"/>
          <w:b/>
          <w:bCs/>
          <w:i/>
          <w:iCs/>
          <w:sz w:val="36"/>
          <w:szCs w:val="36"/>
        </w:rPr>
        <w:t>K</w:t>
      </w:r>
      <w:r w:rsidRPr="00FF7E72">
        <w:rPr>
          <w:rFonts w:ascii="Times New Roman" w:eastAsia="Times New Roman" w:hAnsi="Times New Roman" w:cs="Times New Roman"/>
          <w:b/>
          <w:bCs/>
          <w:sz w:val="36"/>
          <w:szCs w:val="36"/>
          <w:vertAlign w:val="subscript"/>
        </w:rPr>
        <w:t>D</w:t>
      </w:r>
      <w:r w:rsidRPr="00FF7E72">
        <w:rPr>
          <w:rFonts w:ascii="Times New Roman" w:eastAsia="Times New Roman" w:hAnsi="Times New Roman" w:cs="Times New Roman"/>
          <w:b/>
          <w:bCs/>
          <w:sz w:val="36"/>
          <w:szCs w:val="36"/>
        </w:rPr>
        <w:t>)</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From the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M2</w:t>
      </w:r>
      <w:r w:rsidRPr="00FF7E72">
        <w:rPr>
          <w:rFonts w:ascii="Times New Roman" w:eastAsia="Times New Roman" w:hAnsi="Times New Roman" w:cs="Times New Roman"/>
          <w:sz w:val="24"/>
          <w:szCs w:val="24"/>
        </w:rPr>
        <w:t xml:space="preserve"> ratio </w:t>
      </w:r>
      <w:r w:rsidRPr="00FF7E72">
        <w:rPr>
          <w:rFonts w:ascii="Times New Roman" w:eastAsia="Times New Roman" w:hAnsi="Times New Roman" w:cs="Times New Roman"/>
          <w:i/>
          <w:iCs/>
          <w:sz w:val="24"/>
          <w:szCs w:val="24"/>
        </w:rPr>
        <w:t>r</w:t>
      </w:r>
      <w:r w:rsidRPr="00FF7E72">
        <w:rPr>
          <w:rFonts w:ascii="Times New Roman" w:eastAsia="Times New Roman" w:hAnsi="Times New Roman" w:cs="Times New Roman"/>
          <w:sz w:val="24"/>
          <w:szCs w:val="24"/>
        </w:rPr>
        <w:t xml:space="preserv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 xml:space="preserve"> is calculated as </w:t>
      </w:r>
      <w:proofErr w:type="spellStart"/>
      <w:r w:rsidRPr="00FF7E72">
        <w:rPr>
          <w:rFonts w:ascii="Times New Roman" w:eastAsia="Times New Roman" w:hAnsi="Times New Roman" w:cs="Times New Roman"/>
          <w:i/>
          <w:iCs/>
          <w:sz w:val="24"/>
          <w:szCs w:val="24"/>
        </w:rPr>
        <w:t>rY</w:t>
      </w:r>
      <w:r w:rsidRPr="00FF7E72">
        <w:rPr>
          <w:rFonts w:ascii="Times New Roman" w:eastAsia="Times New Roman" w:hAnsi="Times New Roman" w:cs="Times New Roman"/>
          <w:sz w:val="24"/>
          <w:szCs w:val="24"/>
          <w:vertAlign w:val="subscript"/>
        </w:rPr>
        <w:t>Fe</w:t>
      </w:r>
      <w:proofErr w:type="spellEnd"/>
      <w:r w:rsidRPr="00FF7E72">
        <w:rPr>
          <w:rFonts w:ascii="Times New Roman" w:eastAsia="Times New Roman" w:hAnsi="Times New Roman" w:cs="Times New Roman"/>
          <w:sz w:val="24"/>
          <w:szCs w:val="24"/>
        </w:rPr>
        <w:t xml:space="preserve">/(1 + </w:t>
      </w:r>
      <w:r w:rsidRPr="00FF7E72">
        <w:rPr>
          <w:rFonts w:ascii="Times New Roman" w:eastAsia="Times New Roman" w:hAnsi="Times New Roman" w:cs="Times New Roman"/>
          <w:i/>
          <w:iCs/>
          <w:sz w:val="24"/>
          <w:szCs w:val="24"/>
        </w:rPr>
        <w:t>r</w:t>
      </w:r>
      <w:r w:rsidRPr="00FF7E72">
        <w:rPr>
          <w:rFonts w:ascii="Times New Roman" w:eastAsia="Times New Roman" w:hAnsi="Times New Roman" w:cs="Times New Roman"/>
          <w:sz w:val="24"/>
          <w:szCs w:val="24"/>
        </w:rPr>
        <w:t xml:space="preserve">) where </w:t>
      </w:r>
      <w:proofErr w:type="spellStart"/>
      <w:r w:rsidRPr="00FF7E72">
        <w:rPr>
          <w:rFonts w:ascii="Times New Roman" w:eastAsia="Times New Roman" w:hAnsi="Times New Roman" w:cs="Times New Roman"/>
          <w:i/>
          <w:iCs/>
          <w:sz w:val="24"/>
          <w:szCs w:val="24"/>
        </w:rPr>
        <w:t>Y</w:t>
      </w:r>
      <w:r w:rsidRPr="00FF7E72">
        <w:rPr>
          <w:rFonts w:ascii="Times New Roman" w:eastAsia="Times New Roman" w:hAnsi="Times New Roman" w:cs="Times New Roman"/>
          <w:sz w:val="24"/>
          <w:szCs w:val="24"/>
          <w:vertAlign w:val="subscript"/>
        </w:rPr>
        <w:t>Fe</w:t>
      </w:r>
      <w:proofErr w:type="spellEnd"/>
      <w:r w:rsidRPr="00FF7E72">
        <w:rPr>
          <w:rFonts w:ascii="Times New Roman" w:eastAsia="Times New Roman" w:hAnsi="Times New Roman" w:cs="Times New Roman"/>
          <w:sz w:val="24"/>
          <w:szCs w:val="24"/>
        </w:rPr>
        <w:t xml:space="preserve"> is the total number of Fe atoms on a four-cation formula unit (i.e., 2 times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Fs</w:t>
      </w:r>
      <w:r w:rsidRPr="00FF7E72">
        <w:rPr>
          <w:rFonts w:ascii="Times New Roman" w:eastAsia="Times New Roman" w:hAnsi="Times New Roman" w:cs="Times New Roman"/>
          <w:sz w:val="24"/>
          <w:szCs w:val="24"/>
        </w:rPr>
        <w:t xml:space="preserv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M2</w:t>
      </w:r>
      <w:r w:rsidRPr="00FF7E72">
        <w:rPr>
          <w:rFonts w:ascii="Times New Roman" w:eastAsia="Times New Roman" w:hAnsi="Times New Roman" w:cs="Times New Roman"/>
          <w:sz w:val="24"/>
          <w:szCs w:val="24"/>
        </w:rPr>
        <w:t xml:space="preserve"> is </w:t>
      </w:r>
      <w:proofErr w:type="spellStart"/>
      <w:r w:rsidRPr="00FF7E72">
        <w:rPr>
          <w:rFonts w:ascii="Times New Roman" w:eastAsia="Times New Roman" w:hAnsi="Times New Roman" w:cs="Times New Roman"/>
          <w:i/>
          <w:iCs/>
          <w:sz w:val="24"/>
          <w:szCs w:val="24"/>
        </w:rPr>
        <w:t>Y</w:t>
      </w:r>
      <w:r w:rsidRPr="00FF7E72">
        <w:rPr>
          <w:rFonts w:ascii="Times New Roman" w:eastAsia="Times New Roman" w:hAnsi="Times New Roman" w:cs="Times New Roman"/>
          <w:sz w:val="24"/>
          <w:szCs w:val="24"/>
          <w:vertAlign w:val="subscript"/>
        </w:rPr>
        <w:t>Fe</w:t>
      </w:r>
      <w:proofErr w:type="spellEnd"/>
      <w:r w:rsidRPr="00FF7E72">
        <w:rPr>
          <w:rFonts w:ascii="Times New Roman" w:eastAsia="Times New Roman" w:hAnsi="Times New Roman" w:cs="Times New Roman"/>
          <w:sz w:val="24"/>
          <w:szCs w:val="24"/>
        </w:rPr>
        <w:t xml:space="preserve"> −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 xml:space="preserve">,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Fe</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 xml:space="preserve"> is 1 − </w:t>
      </w:r>
      <w:r w:rsidRPr="00FF7E72">
        <w:rPr>
          <w:rFonts w:ascii="Times New Roman" w:eastAsia="Times New Roman" w:hAnsi="Times New Roman" w:cs="Times New Roman"/>
          <w:i/>
          <w:iCs/>
          <w:sz w:val="24"/>
          <w:szCs w:val="24"/>
        </w:rPr>
        <w:t>Y</w:t>
      </w:r>
      <w:r w:rsidRPr="00FF7E72">
        <w:rPr>
          <w:rFonts w:ascii="Times New Roman" w:eastAsia="Times New Roman" w:hAnsi="Times New Roman" w:cs="Times New Roman"/>
          <w:sz w:val="24"/>
          <w:szCs w:val="24"/>
          <w:vertAlign w:val="subscript"/>
        </w:rPr>
        <w:t>1</w:t>
      </w:r>
      <w:r w:rsidRPr="00FF7E72">
        <w:rPr>
          <w:rFonts w:ascii="Times New Roman" w:eastAsia="Times New Roman" w:hAnsi="Times New Roman" w:cs="Times New Roman"/>
          <w:sz w:val="24"/>
          <w:szCs w:val="24"/>
        </w:rPr>
        <w:t xml:space="preserve"> −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Mg</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 xml:space="preserve"> where </w:t>
      </w:r>
      <w:r w:rsidRPr="00FF7E72">
        <w:rPr>
          <w:rFonts w:ascii="Times New Roman" w:eastAsia="Times New Roman" w:hAnsi="Times New Roman" w:cs="Times New Roman"/>
          <w:i/>
          <w:iCs/>
          <w:sz w:val="24"/>
          <w:szCs w:val="24"/>
        </w:rPr>
        <w:t>Y</w:t>
      </w:r>
      <w:r w:rsidRPr="00FF7E72">
        <w:rPr>
          <w:rFonts w:ascii="Times New Roman" w:eastAsia="Times New Roman" w:hAnsi="Times New Roman" w:cs="Times New Roman"/>
          <w:sz w:val="24"/>
          <w:szCs w:val="24"/>
          <w:vertAlign w:val="subscript"/>
        </w:rPr>
        <w:t>1</w:t>
      </w:r>
      <w:r w:rsidRPr="00FF7E72">
        <w:rPr>
          <w:rFonts w:ascii="Times New Roman" w:eastAsia="Times New Roman" w:hAnsi="Times New Roman" w:cs="Times New Roman"/>
          <w:sz w:val="24"/>
          <w:szCs w:val="24"/>
        </w:rPr>
        <w:t xml:space="preserve"> is the sum of all other cations in M1 site (minor Al, Cr, </w:t>
      </w:r>
      <w:proofErr w:type="spellStart"/>
      <w:r w:rsidRPr="00FF7E72">
        <w:rPr>
          <w:rFonts w:ascii="Times New Roman" w:eastAsia="Times New Roman" w:hAnsi="Times New Roman" w:cs="Times New Roman"/>
          <w:sz w:val="24"/>
          <w:szCs w:val="24"/>
        </w:rPr>
        <w:t>Ti</w:t>
      </w:r>
      <w:proofErr w:type="spellEnd"/>
      <w:r w:rsidRPr="00FF7E72">
        <w:rPr>
          <w:rFonts w:ascii="Times New Roman" w:eastAsia="Times New Roman" w:hAnsi="Times New Roman" w:cs="Times New Roman"/>
          <w:sz w:val="24"/>
          <w:szCs w:val="24"/>
        </w:rPr>
        <w:t xml:space="preserve">), and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Mg</w:t>
      </w:r>
      <w:r w:rsidRPr="00FF7E72">
        <w:rPr>
          <w:rFonts w:ascii="Times New Roman" w:eastAsia="Times New Roman" w:hAnsi="Times New Roman" w:cs="Times New Roman"/>
          <w:sz w:val="24"/>
          <w:szCs w:val="24"/>
          <w:vertAlign w:val="superscript"/>
        </w:rPr>
        <w:t>M2</w:t>
      </w:r>
      <w:r w:rsidRPr="00FF7E72">
        <w:rPr>
          <w:rFonts w:ascii="Times New Roman" w:eastAsia="Times New Roman" w:hAnsi="Times New Roman" w:cs="Times New Roman"/>
          <w:sz w:val="24"/>
          <w:szCs w:val="24"/>
        </w:rPr>
        <w:t xml:space="preserve"> is </w:t>
      </w:r>
      <w:proofErr w:type="spellStart"/>
      <w:r w:rsidRPr="00FF7E72">
        <w:rPr>
          <w:rFonts w:ascii="Times New Roman" w:eastAsia="Times New Roman" w:hAnsi="Times New Roman" w:cs="Times New Roman"/>
          <w:i/>
          <w:iCs/>
          <w:sz w:val="24"/>
          <w:szCs w:val="24"/>
        </w:rPr>
        <w:t>Y</w:t>
      </w:r>
      <w:r w:rsidRPr="00FF7E72">
        <w:rPr>
          <w:rFonts w:ascii="Times New Roman" w:eastAsia="Times New Roman" w:hAnsi="Times New Roman" w:cs="Times New Roman"/>
          <w:sz w:val="24"/>
          <w:szCs w:val="24"/>
          <w:vertAlign w:val="subscript"/>
        </w:rPr>
        <w:t>Mg</w:t>
      </w:r>
      <w:proofErr w:type="spellEnd"/>
      <w:r w:rsidRPr="00FF7E72">
        <w:rPr>
          <w:rFonts w:ascii="Times New Roman" w:eastAsia="Times New Roman" w:hAnsi="Times New Roman" w:cs="Times New Roman"/>
          <w:sz w:val="24"/>
          <w:szCs w:val="24"/>
        </w:rPr>
        <w:t xml:space="preserve"> − </w:t>
      </w:r>
      <w:r w:rsidRPr="00FF7E72">
        <w:rPr>
          <w:rFonts w:ascii="Times New Roman" w:eastAsia="Times New Roman" w:hAnsi="Times New Roman" w:cs="Times New Roman"/>
          <w:i/>
          <w:iCs/>
          <w:sz w:val="24"/>
          <w:szCs w:val="24"/>
        </w:rPr>
        <w:t>X</w:t>
      </w:r>
      <w:r w:rsidRPr="00FF7E72">
        <w:rPr>
          <w:rFonts w:ascii="Times New Roman" w:eastAsia="Times New Roman" w:hAnsi="Times New Roman" w:cs="Times New Roman"/>
          <w:sz w:val="24"/>
          <w:szCs w:val="24"/>
          <w:vertAlign w:val="subscript"/>
        </w:rPr>
        <w:t>Mg</w:t>
      </w:r>
      <w:r w:rsidRPr="00FF7E72">
        <w:rPr>
          <w:rFonts w:ascii="Times New Roman" w:eastAsia="Times New Roman" w:hAnsi="Times New Roman" w:cs="Times New Roman"/>
          <w:sz w:val="24"/>
          <w:szCs w:val="24"/>
          <w:vertAlign w:val="superscript"/>
        </w:rPr>
        <w:t>M1</w:t>
      </w:r>
      <w:r w:rsidRPr="00FF7E72">
        <w:rPr>
          <w:rFonts w:ascii="Times New Roman" w:eastAsia="Times New Roman" w:hAnsi="Times New Roman" w:cs="Times New Roman"/>
          <w:sz w:val="24"/>
          <w:szCs w:val="24"/>
        </w:rPr>
        <w:t xml:space="preserve">. Then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is calculated according to Eqn. 2 with Mn and Ca assumed to be totally in the M2 site (</w:t>
      </w:r>
      <w:proofErr w:type="spellStart"/>
      <w:r w:rsidRPr="00FF7E72">
        <w:rPr>
          <w:rFonts w:ascii="Times New Roman" w:eastAsia="Times New Roman" w:hAnsi="Times New Roman" w:cs="Times New Roman"/>
          <w:sz w:val="24"/>
          <w:szCs w:val="24"/>
        </w:rPr>
        <w:t>Stimpfl</w:t>
      </w:r>
      <w:proofErr w:type="spellEnd"/>
      <w:r w:rsidRPr="00FF7E72">
        <w:rPr>
          <w:rFonts w:ascii="Times New Roman" w:eastAsia="Times New Roman" w:hAnsi="Times New Roman" w:cs="Times New Roman"/>
          <w:sz w:val="24"/>
          <w:szCs w:val="24"/>
        </w:rPr>
        <w:t>, 2005).</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The resultant Fe-Mg distribution coefficients are reported in Table 2 and shown in </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 xml:space="preserve">Comparison with Previous </w:t>
      </w:r>
      <w:proofErr w:type="spellStart"/>
      <w:r w:rsidRPr="00FF7E72">
        <w:rPr>
          <w:rFonts w:ascii="Times New Roman" w:eastAsia="Times New Roman" w:hAnsi="Times New Roman" w:cs="Times New Roman"/>
          <w:b/>
          <w:bCs/>
          <w:sz w:val="36"/>
          <w:szCs w:val="36"/>
        </w:rPr>
        <w:t>Mössbauer</w:t>
      </w:r>
      <w:proofErr w:type="spellEnd"/>
      <w:r w:rsidRPr="00FF7E72">
        <w:rPr>
          <w:rFonts w:ascii="Times New Roman" w:eastAsia="Times New Roman" w:hAnsi="Times New Roman" w:cs="Times New Roman"/>
          <w:b/>
          <w:bCs/>
          <w:sz w:val="36"/>
          <w:szCs w:val="36"/>
        </w:rPr>
        <w:t xml:space="preserve"> Equilibrium Studies</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lastRenderedPageBreak/>
        <w:t xml:space="preserve">Several studies have been conducted to investigate Fe-Mg order-disorder in orthopyroxenes using conventional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spectroscopy (Virgo and Hafner 1969, Saxena and Ghose 1971, Besancon 1981, </w:t>
      </w:r>
      <w:proofErr w:type="spellStart"/>
      <w:r w:rsidRPr="00FF7E72">
        <w:rPr>
          <w:rFonts w:ascii="Times New Roman" w:eastAsia="Times New Roman" w:hAnsi="Times New Roman" w:cs="Times New Roman"/>
          <w:sz w:val="24"/>
          <w:szCs w:val="24"/>
        </w:rPr>
        <w:t>Anovitz</w:t>
      </w:r>
      <w:proofErr w:type="spellEnd"/>
      <w:r w:rsidRPr="00FF7E72">
        <w:rPr>
          <w:rFonts w:ascii="Times New Roman" w:eastAsia="Times New Roman" w:hAnsi="Times New Roman" w:cs="Times New Roman"/>
          <w:sz w:val="24"/>
          <w:szCs w:val="24"/>
        </w:rPr>
        <w:t xml:space="preserve"> et al 1988, </w:t>
      </w:r>
      <w:proofErr w:type="spellStart"/>
      <w:r w:rsidRPr="00FF7E72">
        <w:rPr>
          <w:rFonts w:ascii="Times New Roman" w:eastAsia="Times New Roman" w:hAnsi="Times New Roman" w:cs="Times New Roman"/>
          <w:sz w:val="24"/>
          <w:szCs w:val="24"/>
        </w:rPr>
        <w:t>Domeneghetti</w:t>
      </w:r>
      <w:proofErr w:type="spellEnd"/>
      <w:r w:rsidRPr="00FF7E72">
        <w:rPr>
          <w:rFonts w:ascii="Times New Roman" w:eastAsia="Times New Roman" w:hAnsi="Times New Roman" w:cs="Times New Roman"/>
          <w:sz w:val="24"/>
          <w:szCs w:val="24"/>
        </w:rPr>
        <w:t xml:space="preserve"> and Steffen 1992, </w:t>
      </w:r>
      <w:proofErr w:type="spellStart"/>
      <w:r w:rsidRPr="00FF7E72">
        <w:rPr>
          <w:rFonts w:ascii="Times New Roman" w:eastAsia="Times New Roman" w:hAnsi="Times New Roman" w:cs="Times New Roman"/>
          <w:sz w:val="24"/>
          <w:szCs w:val="24"/>
        </w:rPr>
        <w:t>Skogby</w:t>
      </w:r>
      <w:proofErr w:type="spellEnd"/>
      <w:r w:rsidRPr="00FF7E72">
        <w:rPr>
          <w:rFonts w:ascii="Times New Roman" w:eastAsia="Times New Roman" w:hAnsi="Times New Roman" w:cs="Times New Roman"/>
          <w:sz w:val="24"/>
          <w:szCs w:val="24"/>
        </w:rPr>
        <w:t xml:space="preserve"> 1992). The Fe-Mg distribution coefficients from these studies have been recalculated based on the reported site occupancies to account for the minor elements following the same procedure as in this study. Data from Virgo and Hafner (1969) were</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Conclusions</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The equilibrium distribution of Fe and Mg between the M1 and M2 sites in orthopyroxene has been measured at 1 atm and 600 to 1000°C for two magnesian orthopyroxene crystals (Fs</w:t>
      </w:r>
      <w:r w:rsidRPr="00FF7E72">
        <w:rPr>
          <w:rFonts w:ascii="Times New Roman" w:eastAsia="Times New Roman" w:hAnsi="Times New Roman" w:cs="Times New Roman"/>
          <w:sz w:val="24"/>
          <w:szCs w:val="24"/>
          <w:vertAlign w:val="subscript"/>
        </w:rPr>
        <w:t>1</w:t>
      </w:r>
      <w:r w:rsidRPr="00FF7E72">
        <w:rPr>
          <w:rFonts w:ascii="Times New Roman" w:eastAsia="Times New Roman" w:hAnsi="Times New Roman" w:cs="Times New Roman"/>
          <w:sz w:val="24"/>
          <w:szCs w:val="24"/>
        </w:rPr>
        <w:t xml:space="preserve"> and Fs</w:t>
      </w:r>
      <w:r w:rsidRPr="00FF7E72">
        <w:rPr>
          <w:rFonts w:ascii="Times New Roman" w:eastAsia="Times New Roman" w:hAnsi="Times New Roman" w:cs="Times New Roman"/>
          <w:sz w:val="24"/>
          <w:szCs w:val="24"/>
          <w:vertAlign w:val="subscript"/>
        </w:rPr>
        <w:t>16</w:t>
      </w:r>
      <w:r w:rsidRPr="00FF7E72">
        <w:rPr>
          <w:rFonts w:ascii="Times New Roman" w:eastAsia="Times New Roman" w:hAnsi="Times New Roman" w:cs="Times New Roman"/>
          <w:sz w:val="24"/>
          <w:szCs w:val="24"/>
        </w:rPr>
        <w:t xml:space="preserve">) using a high-sensitivity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spectrometer. The most important conclusion from this study is that the Fe-Mg distribution coefficients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are independent of orthopyroxene composition within experimental uncertainty, and that </w:t>
      </w:r>
      <w:r w:rsidRPr="00FF7E72">
        <w:rPr>
          <w:rFonts w:ascii="Times New Roman" w:eastAsia="Times New Roman" w:hAnsi="Times New Roman" w:cs="Times New Roman"/>
          <w:i/>
          <w:iCs/>
          <w:sz w:val="24"/>
          <w:szCs w:val="24"/>
        </w:rPr>
        <w:t>K</w:t>
      </w:r>
      <w:r w:rsidRPr="00FF7E72">
        <w:rPr>
          <w:rFonts w:ascii="Times New Roman" w:eastAsia="Times New Roman" w:hAnsi="Times New Roman" w:cs="Times New Roman"/>
          <w:sz w:val="24"/>
          <w:szCs w:val="24"/>
          <w:vertAlign w:val="subscript"/>
        </w:rPr>
        <w:t>D</w:t>
      </w:r>
      <w:r w:rsidRPr="00FF7E72">
        <w:rPr>
          <w:rFonts w:ascii="Times New Roman" w:eastAsia="Times New Roman" w:hAnsi="Times New Roman" w:cs="Times New Roman"/>
          <w:sz w:val="24"/>
          <w:szCs w:val="24"/>
        </w:rPr>
        <w:t xml:space="preserve"> values from </w:t>
      </w:r>
      <w:proofErr w:type="spellStart"/>
      <w:r w:rsidRPr="00FF7E72">
        <w:rPr>
          <w:rFonts w:ascii="Times New Roman" w:eastAsia="Times New Roman" w:hAnsi="Times New Roman" w:cs="Times New Roman"/>
          <w:sz w:val="24"/>
          <w:szCs w:val="24"/>
        </w:rPr>
        <w:t>Mössbauer</w:t>
      </w:r>
      <w:proofErr w:type="spellEnd"/>
      <w:r w:rsidRPr="00FF7E72">
        <w:rPr>
          <w:rFonts w:ascii="Times New Roman" w:eastAsia="Times New Roman" w:hAnsi="Times New Roman" w:cs="Times New Roman"/>
          <w:sz w:val="24"/>
          <w:szCs w:val="24"/>
        </w:rPr>
        <w:t xml:space="preserve"> method can be described as a function of temperature by </w:t>
      </w:r>
    </w:p>
    <w:p w:rsidR="00FF7E72" w:rsidRPr="00FF7E72" w:rsidRDefault="00FF7E72" w:rsidP="00FF7E72">
      <w:pPr>
        <w:spacing w:before="100" w:beforeAutospacing="1" w:after="100" w:afterAutospacing="1" w:line="240" w:lineRule="auto"/>
        <w:outlineLvl w:val="1"/>
        <w:rPr>
          <w:rFonts w:ascii="Times New Roman" w:eastAsia="Times New Roman" w:hAnsi="Times New Roman" w:cs="Times New Roman"/>
          <w:b/>
          <w:bCs/>
          <w:sz w:val="36"/>
          <w:szCs w:val="36"/>
        </w:rPr>
      </w:pPr>
      <w:r w:rsidRPr="00FF7E72">
        <w:rPr>
          <w:rFonts w:ascii="Times New Roman" w:eastAsia="Times New Roman" w:hAnsi="Times New Roman" w:cs="Times New Roman"/>
          <w:b/>
          <w:bCs/>
          <w:sz w:val="36"/>
          <w:szCs w:val="36"/>
        </w:rPr>
        <w:t>Acknowledgments</w:t>
      </w:r>
    </w:p>
    <w:p w:rsidR="00FF7E72" w:rsidRPr="00FF7E72" w:rsidRDefault="00FF7E72" w:rsidP="00FF7E72">
      <w:pPr>
        <w:spacing w:before="100" w:beforeAutospacing="1" w:after="100" w:afterAutospacing="1" w:line="240" w:lineRule="auto"/>
        <w:rPr>
          <w:rFonts w:ascii="Times New Roman" w:eastAsia="Times New Roman" w:hAnsi="Times New Roman" w:cs="Times New Roman"/>
          <w:sz w:val="24"/>
          <w:szCs w:val="24"/>
        </w:rPr>
      </w:pPr>
      <w:r w:rsidRPr="00FF7E72">
        <w:rPr>
          <w:rFonts w:ascii="Times New Roman" w:eastAsia="Times New Roman" w:hAnsi="Times New Roman" w:cs="Times New Roman"/>
          <w:sz w:val="24"/>
          <w:szCs w:val="24"/>
        </w:rPr>
        <w:t xml:space="preserve">We are grateful to L. M. </w:t>
      </w:r>
      <w:proofErr w:type="spellStart"/>
      <w:r w:rsidRPr="00FF7E72">
        <w:rPr>
          <w:rFonts w:ascii="Times New Roman" w:eastAsia="Times New Roman" w:hAnsi="Times New Roman" w:cs="Times New Roman"/>
          <w:sz w:val="24"/>
          <w:szCs w:val="24"/>
        </w:rPr>
        <w:t>Anovitz</w:t>
      </w:r>
      <w:proofErr w:type="spellEnd"/>
      <w:r w:rsidRPr="00FF7E72">
        <w:rPr>
          <w:rFonts w:ascii="Times New Roman" w:eastAsia="Times New Roman" w:hAnsi="Times New Roman" w:cs="Times New Roman"/>
          <w:sz w:val="24"/>
          <w:szCs w:val="24"/>
        </w:rPr>
        <w:t xml:space="preserve"> of Oak Ridge National Laboratory and G. Harlow of the American Museum of Natural History at New York for donating orthopyroxene crystals. We thank J. Becket, J. Chen, J. </w:t>
      </w:r>
      <w:proofErr w:type="spellStart"/>
      <w:r w:rsidRPr="00FF7E72">
        <w:rPr>
          <w:rFonts w:ascii="Times New Roman" w:eastAsia="Times New Roman" w:hAnsi="Times New Roman" w:cs="Times New Roman"/>
          <w:sz w:val="24"/>
          <w:szCs w:val="24"/>
        </w:rPr>
        <w:t>Ganguly</w:t>
      </w:r>
      <w:proofErr w:type="spellEnd"/>
      <w:r w:rsidRPr="00FF7E72">
        <w:rPr>
          <w:rFonts w:ascii="Times New Roman" w:eastAsia="Times New Roman" w:hAnsi="Times New Roman" w:cs="Times New Roman"/>
          <w:sz w:val="24"/>
          <w:szCs w:val="24"/>
        </w:rPr>
        <w:t xml:space="preserve">, F. C. Hawthorne, D. G. </w:t>
      </w:r>
      <w:proofErr w:type="spellStart"/>
      <w:r w:rsidRPr="00FF7E72">
        <w:rPr>
          <w:rFonts w:ascii="Times New Roman" w:eastAsia="Times New Roman" w:hAnsi="Times New Roman" w:cs="Times New Roman"/>
          <w:sz w:val="24"/>
          <w:szCs w:val="24"/>
        </w:rPr>
        <w:t>Rancourt</w:t>
      </w:r>
      <w:proofErr w:type="spellEnd"/>
      <w:r w:rsidRPr="00FF7E72">
        <w:rPr>
          <w:rFonts w:ascii="Times New Roman" w:eastAsia="Times New Roman" w:hAnsi="Times New Roman" w:cs="Times New Roman"/>
          <w:sz w:val="24"/>
          <w:szCs w:val="24"/>
        </w:rPr>
        <w:t xml:space="preserve">, S. K. Saxena, D. J. Weidner, J. Zhang and an anonymous reviewer for comments and discussion. J. </w:t>
      </w:r>
      <w:proofErr w:type="spellStart"/>
      <w:r w:rsidRPr="00FF7E72">
        <w:rPr>
          <w:rFonts w:ascii="Times New Roman" w:eastAsia="Times New Roman" w:hAnsi="Times New Roman" w:cs="Times New Roman"/>
          <w:sz w:val="24"/>
          <w:szCs w:val="24"/>
        </w:rPr>
        <w:t>Granguly</w:t>
      </w:r>
      <w:proofErr w:type="spellEnd"/>
      <w:r w:rsidRPr="00FF7E72">
        <w:rPr>
          <w:rFonts w:ascii="Times New Roman" w:eastAsia="Times New Roman" w:hAnsi="Times New Roman" w:cs="Times New Roman"/>
          <w:sz w:val="24"/>
          <w:szCs w:val="24"/>
        </w:rPr>
        <w:t xml:space="preserve"> is also thanked for calculating the statistically most probable formula. This research was partially supported by grants from NSF (EAR 94-58368,</w:t>
      </w:r>
    </w:p>
    <w:p w:rsidR="00F11299" w:rsidRDefault="00F11299"/>
    <w:sectPr w:rsidR="00F11299">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E72"/>
    <w:rsid w:val="00F11299"/>
    <w:rsid w:val="00FF7E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EF4947-A06D-4B8E-BC77-A356432B4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FF7E7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FF7E7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F7E72"/>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FF7E72"/>
    <w:rPr>
      <w:rFonts w:ascii="Times New Roman" w:eastAsia="Times New Roman" w:hAnsi="Times New Roman" w:cs="Times New Roman"/>
      <w:b/>
      <w:bCs/>
      <w:sz w:val="36"/>
      <w:szCs w:val="36"/>
    </w:rPr>
  </w:style>
  <w:style w:type="character" w:customStyle="1" w:styleId="title-text">
    <w:name w:val="title-text"/>
    <w:basedOn w:val="a0"/>
    <w:rsid w:val="00FF7E72"/>
  </w:style>
  <w:style w:type="character" w:customStyle="1" w:styleId="sr-only">
    <w:name w:val="sr-only"/>
    <w:basedOn w:val="a0"/>
    <w:rsid w:val="00FF7E72"/>
  </w:style>
  <w:style w:type="character" w:styleId="a3">
    <w:name w:val="Hyperlink"/>
    <w:basedOn w:val="a0"/>
    <w:uiPriority w:val="99"/>
    <w:semiHidden/>
    <w:unhideWhenUsed/>
    <w:rsid w:val="00FF7E72"/>
    <w:rPr>
      <w:color w:val="0000FF"/>
      <w:u w:val="single"/>
    </w:rPr>
  </w:style>
  <w:style w:type="character" w:customStyle="1" w:styleId="anchor-text">
    <w:name w:val="anchor-text"/>
    <w:basedOn w:val="a0"/>
    <w:rsid w:val="00FF7E72"/>
  </w:style>
  <w:style w:type="paragraph" w:styleId="a4">
    <w:name w:val="Normal (Web)"/>
    <w:basedOn w:val="a"/>
    <w:uiPriority w:val="99"/>
    <w:semiHidden/>
    <w:unhideWhenUsed/>
    <w:rsid w:val="00FF7E7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FF7E7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799484">
      <w:bodyDiv w:val="1"/>
      <w:marLeft w:val="0"/>
      <w:marRight w:val="0"/>
      <w:marTop w:val="0"/>
      <w:marBottom w:val="0"/>
      <w:divBdr>
        <w:top w:val="none" w:sz="0" w:space="0" w:color="auto"/>
        <w:left w:val="none" w:sz="0" w:space="0" w:color="auto"/>
        <w:bottom w:val="none" w:sz="0" w:space="0" w:color="auto"/>
        <w:right w:val="none" w:sz="0" w:space="0" w:color="auto"/>
      </w:divBdr>
      <w:divsChild>
        <w:div w:id="344942246">
          <w:marLeft w:val="0"/>
          <w:marRight w:val="0"/>
          <w:marTop w:val="0"/>
          <w:marBottom w:val="0"/>
          <w:divBdr>
            <w:top w:val="none" w:sz="0" w:space="0" w:color="auto"/>
            <w:left w:val="none" w:sz="0" w:space="0" w:color="auto"/>
            <w:bottom w:val="none" w:sz="0" w:space="0" w:color="auto"/>
            <w:right w:val="none" w:sz="0" w:space="0" w:color="auto"/>
          </w:divBdr>
          <w:divsChild>
            <w:div w:id="751240052">
              <w:marLeft w:val="0"/>
              <w:marRight w:val="0"/>
              <w:marTop w:val="0"/>
              <w:marBottom w:val="0"/>
              <w:divBdr>
                <w:top w:val="none" w:sz="0" w:space="0" w:color="auto"/>
                <w:left w:val="none" w:sz="0" w:space="0" w:color="auto"/>
                <w:bottom w:val="none" w:sz="0" w:space="0" w:color="auto"/>
                <w:right w:val="none" w:sz="0" w:space="0" w:color="auto"/>
              </w:divBdr>
              <w:divsChild>
                <w:div w:id="894971488">
                  <w:marLeft w:val="0"/>
                  <w:marRight w:val="0"/>
                  <w:marTop w:val="0"/>
                  <w:marBottom w:val="0"/>
                  <w:divBdr>
                    <w:top w:val="none" w:sz="0" w:space="0" w:color="auto"/>
                    <w:left w:val="none" w:sz="0" w:space="0" w:color="auto"/>
                    <w:bottom w:val="none" w:sz="0" w:space="0" w:color="auto"/>
                    <w:right w:val="none" w:sz="0" w:space="0" w:color="auto"/>
                  </w:divBdr>
                  <w:divsChild>
                    <w:div w:id="1291590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77940">
          <w:marLeft w:val="0"/>
          <w:marRight w:val="0"/>
          <w:marTop w:val="0"/>
          <w:marBottom w:val="0"/>
          <w:divBdr>
            <w:top w:val="none" w:sz="0" w:space="0" w:color="auto"/>
            <w:left w:val="none" w:sz="0" w:space="0" w:color="auto"/>
            <w:bottom w:val="none" w:sz="0" w:space="0" w:color="auto"/>
            <w:right w:val="none" w:sz="0" w:space="0" w:color="auto"/>
          </w:divBdr>
          <w:divsChild>
            <w:div w:id="789205538">
              <w:marLeft w:val="0"/>
              <w:marRight w:val="0"/>
              <w:marTop w:val="0"/>
              <w:marBottom w:val="0"/>
              <w:divBdr>
                <w:top w:val="none" w:sz="0" w:space="0" w:color="auto"/>
                <w:left w:val="none" w:sz="0" w:space="0" w:color="auto"/>
                <w:bottom w:val="none" w:sz="0" w:space="0" w:color="auto"/>
                <w:right w:val="none" w:sz="0" w:space="0" w:color="auto"/>
              </w:divBdr>
              <w:divsChild>
                <w:div w:id="1309942744">
                  <w:marLeft w:val="0"/>
                  <w:marRight w:val="0"/>
                  <w:marTop w:val="0"/>
                  <w:marBottom w:val="0"/>
                  <w:divBdr>
                    <w:top w:val="none" w:sz="0" w:space="0" w:color="auto"/>
                    <w:left w:val="none" w:sz="0" w:space="0" w:color="auto"/>
                    <w:bottom w:val="none" w:sz="0" w:space="0" w:color="auto"/>
                    <w:right w:val="none" w:sz="0" w:space="0" w:color="auto"/>
                  </w:divBdr>
                  <w:divsChild>
                    <w:div w:id="13468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409591">
          <w:marLeft w:val="0"/>
          <w:marRight w:val="0"/>
          <w:marTop w:val="0"/>
          <w:marBottom w:val="0"/>
          <w:divBdr>
            <w:top w:val="none" w:sz="0" w:space="0" w:color="auto"/>
            <w:left w:val="none" w:sz="0" w:space="0" w:color="auto"/>
            <w:bottom w:val="none" w:sz="0" w:space="0" w:color="auto"/>
            <w:right w:val="none" w:sz="0" w:space="0" w:color="auto"/>
          </w:divBdr>
          <w:divsChild>
            <w:div w:id="1003050067">
              <w:marLeft w:val="0"/>
              <w:marRight w:val="0"/>
              <w:marTop w:val="0"/>
              <w:marBottom w:val="0"/>
              <w:divBdr>
                <w:top w:val="none" w:sz="0" w:space="0" w:color="auto"/>
                <w:left w:val="none" w:sz="0" w:space="0" w:color="auto"/>
                <w:bottom w:val="none" w:sz="0" w:space="0" w:color="auto"/>
                <w:right w:val="none" w:sz="0" w:space="0" w:color="auto"/>
              </w:divBdr>
            </w:div>
          </w:divsChild>
        </w:div>
        <w:div w:id="489367601">
          <w:marLeft w:val="0"/>
          <w:marRight w:val="0"/>
          <w:marTop w:val="0"/>
          <w:marBottom w:val="0"/>
          <w:divBdr>
            <w:top w:val="none" w:sz="0" w:space="0" w:color="auto"/>
            <w:left w:val="none" w:sz="0" w:space="0" w:color="auto"/>
            <w:bottom w:val="none" w:sz="0" w:space="0" w:color="auto"/>
            <w:right w:val="none" w:sz="0" w:space="0" w:color="auto"/>
          </w:divBdr>
          <w:divsChild>
            <w:div w:id="291374284">
              <w:marLeft w:val="0"/>
              <w:marRight w:val="0"/>
              <w:marTop w:val="0"/>
              <w:marBottom w:val="0"/>
              <w:divBdr>
                <w:top w:val="none" w:sz="0" w:space="0" w:color="auto"/>
                <w:left w:val="none" w:sz="0" w:space="0" w:color="auto"/>
                <w:bottom w:val="none" w:sz="0" w:space="0" w:color="auto"/>
                <w:right w:val="none" w:sz="0" w:space="0" w:color="auto"/>
              </w:divBdr>
            </w:div>
          </w:divsChild>
        </w:div>
        <w:div w:id="1854414446">
          <w:marLeft w:val="0"/>
          <w:marRight w:val="0"/>
          <w:marTop w:val="0"/>
          <w:marBottom w:val="0"/>
          <w:divBdr>
            <w:top w:val="none" w:sz="0" w:space="0" w:color="auto"/>
            <w:left w:val="none" w:sz="0" w:space="0" w:color="auto"/>
            <w:bottom w:val="none" w:sz="0" w:space="0" w:color="auto"/>
            <w:right w:val="none" w:sz="0" w:space="0" w:color="auto"/>
          </w:divBdr>
          <w:divsChild>
            <w:div w:id="181772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pectrometer" TargetMode="External"/><Relationship Id="rId5" Type="http://schemas.openxmlformats.org/officeDocument/2006/relationships/hyperlink" Target="https://www.sciencedirect.com/topics/earth-and-planetary-sciences/orthopyroxene" TargetMode="External"/><Relationship Id="rId4" Type="http://schemas.openxmlformats.org/officeDocument/2006/relationships/hyperlink" Target="https://s100.copyright.com/AppDispatchServlet?publisherName=ELS&amp;contentID=S0016703705007003&amp;orderBeanReset=tru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1266</Words>
  <Characters>7221</Characters>
  <Application>Microsoft Office Word</Application>
  <DocSecurity>0</DocSecurity>
  <Lines>60</Lines>
  <Paragraphs>16</Paragraphs>
  <ScaleCrop>false</ScaleCrop>
  <Company/>
  <LinksUpToDate>false</LinksUpToDate>
  <CharactersWithSpaces>8471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2023-11-11T00:51:00Z</dcterms:created>
  <dcterms:modified xsi:type="dcterms:W3CDTF">2023-11-11T00:53:00Z</dcterms:modified>
</cp:coreProperties>
</file>