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F4E3A" w:rsidRPr="004F4E3A" w:rsidRDefault="004F4E3A" w:rsidP="004F4E3A">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F4E3A">
        <w:rPr>
          <w:rFonts w:ascii="Times New Roman" w:eastAsia="Times New Roman" w:hAnsi="Times New Roman" w:cs="Times New Roman"/>
          <w:b/>
          <w:bCs/>
          <w:kern w:val="36"/>
          <w:sz w:val="48"/>
          <w:szCs w:val="48"/>
        </w:rPr>
        <w:t xml:space="preserve">Redox potential measurements and </w:t>
      </w:r>
      <w:proofErr w:type="spellStart"/>
      <w:r w:rsidRPr="004F4E3A">
        <w:rPr>
          <w:rFonts w:ascii="Times New Roman" w:eastAsia="Times New Roman" w:hAnsi="Times New Roman" w:cs="Times New Roman"/>
          <w:b/>
          <w:bCs/>
          <w:kern w:val="36"/>
          <w:sz w:val="48"/>
          <w:szCs w:val="48"/>
        </w:rPr>
        <w:t>Mössbauer</w:t>
      </w:r>
      <w:proofErr w:type="spellEnd"/>
      <w:r w:rsidRPr="004F4E3A">
        <w:rPr>
          <w:rFonts w:ascii="Times New Roman" w:eastAsia="Times New Roman" w:hAnsi="Times New Roman" w:cs="Times New Roman"/>
          <w:b/>
          <w:bCs/>
          <w:kern w:val="36"/>
          <w:sz w:val="48"/>
          <w:szCs w:val="48"/>
        </w:rPr>
        <w:t xml:space="preserve"> spectrometry of </w:t>
      </w:r>
      <w:proofErr w:type="spellStart"/>
      <w:r w:rsidRPr="004F4E3A">
        <w:rPr>
          <w:rFonts w:ascii="Times New Roman" w:eastAsia="Times New Roman" w:hAnsi="Times New Roman" w:cs="Times New Roman"/>
          <w:b/>
          <w:bCs/>
          <w:kern w:val="36"/>
          <w:sz w:val="48"/>
          <w:szCs w:val="48"/>
        </w:rPr>
        <w:t>Fe</w:t>
      </w:r>
      <w:r w:rsidRPr="004F4E3A">
        <w:rPr>
          <w:rFonts w:ascii="Times New Roman" w:eastAsia="Times New Roman" w:hAnsi="Times New Roman" w:cs="Times New Roman"/>
          <w:b/>
          <w:bCs/>
          <w:kern w:val="36"/>
          <w:sz w:val="48"/>
          <w:szCs w:val="48"/>
          <w:vertAlign w:val="superscript"/>
        </w:rPr>
        <w:t>II</w:t>
      </w:r>
      <w:proofErr w:type="spellEnd"/>
      <w:r w:rsidRPr="004F4E3A">
        <w:rPr>
          <w:rFonts w:ascii="Times New Roman" w:eastAsia="Times New Roman" w:hAnsi="Times New Roman" w:cs="Times New Roman"/>
          <w:b/>
          <w:bCs/>
          <w:kern w:val="36"/>
          <w:sz w:val="48"/>
          <w:szCs w:val="48"/>
        </w:rPr>
        <w:t xml:space="preserve"> adsorbed onto </w:t>
      </w:r>
      <w:proofErr w:type="spellStart"/>
      <w:r w:rsidRPr="004F4E3A">
        <w:rPr>
          <w:rFonts w:ascii="Times New Roman" w:eastAsia="Times New Roman" w:hAnsi="Times New Roman" w:cs="Times New Roman"/>
          <w:b/>
          <w:bCs/>
          <w:kern w:val="36"/>
          <w:sz w:val="48"/>
          <w:szCs w:val="48"/>
        </w:rPr>
        <w:t>Fe</w:t>
      </w:r>
      <w:r w:rsidRPr="004F4E3A">
        <w:rPr>
          <w:rFonts w:ascii="Times New Roman" w:eastAsia="Times New Roman" w:hAnsi="Times New Roman" w:cs="Times New Roman"/>
          <w:b/>
          <w:bCs/>
          <w:kern w:val="36"/>
          <w:sz w:val="48"/>
          <w:szCs w:val="48"/>
          <w:vertAlign w:val="superscript"/>
        </w:rPr>
        <w:t>III</w:t>
      </w:r>
      <w:proofErr w:type="spellEnd"/>
      <w:r w:rsidRPr="004F4E3A">
        <w:rPr>
          <w:rFonts w:ascii="Times New Roman" w:eastAsia="Times New Roman" w:hAnsi="Times New Roman" w:cs="Times New Roman"/>
          <w:b/>
          <w:bCs/>
          <w:kern w:val="36"/>
          <w:sz w:val="48"/>
          <w:szCs w:val="48"/>
        </w:rPr>
        <w:t xml:space="preserve"> (</w:t>
      </w:r>
      <w:proofErr w:type="spellStart"/>
      <w:r w:rsidRPr="004F4E3A">
        <w:rPr>
          <w:rFonts w:ascii="Times New Roman" w:eastAsia="Times New Roman" w:hAnsi="Times New Roman" w:cs="Times New Roman"/>
          <w:b/>
          <w:bCs/>
          <w:kern w:val="36"/>
          <w:sz w:val="48"/>
          <w:szCs w:val="48"/>
        </w:rPr>
        <w:t>oxyhydr</w:t>
      </w:r>
      <w:proofErr w:type="spellEnd"/>
      <w:r w:rsidRPr="004F4E3A">
        <w:rPr>
          <w:rFonts w:ascii="Times New Roman" w:eastAsia="Times New Roman" w:hAnsi="Times New Roman" w:cs="Times New Roman"/>
          <w:b/>
          <w:bCs/>
          <w:kern w:val="36"/>
          <w:sz w:val="48"/>
          <w:szCs w:val="48"/>
        </w:rPr>
        <w:t>)oxides</w:t>
      </w:r>
    </w:p>
    <w:p w:rsidR="004F4E3A" w:rsidRPr="004F4E3A" w:rsidRDefault="004F4E3A" w:rsidP="004F4E3A">
      <w:pPr>
        <w:spacing w:after="0"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Author links open overlay panel</w:t>
      </w:r>
    </w:p>
    <w:p w:rsidR="004F4E3A" w:rsidRPr="004F4E3A" w:rsidRDefault="004F4E3A" w:rsidP="004F4E3A">
      <w:pPr>
        <w:spacing w:after="0"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 </w:t>
      </w:r>
      <w:bookmarkStart w:id="0" w:name="baep-author-id63-profile"/>
      <w:r w:rsidRPr="004F4E3A">
        <w:rPr>
          <w:rFonts w:ascii="Times New Roman" w:eastAsia="Times New Roman" w:hAnsi="Times New Roman" w:cs="Times New Roman"/>
          <w:sz w:val="24"/>
          <w:szCs w:val="24"/>
        </w:rPr>
        <w:fldChar w:fldCharType="begin"/>
      </w:r>
      <w:r w:rsidRPr="004F4E3A">
        <w:rPr>
          <w:rFonts w:ascii="Times New Roman" w:eastAsia="Times New Roman" w:hAnsi="Times New Roman" w:cs="Times New Roman"/>
          <w:sz w:val="24"/>
          <w:szCs w:val="24"/>
        </w:rPr>
        <w:instrText xml:space="preserve"> HYPERLINK "https://www.sciencedirect.com/author/7005579442/laurent-charlet" </w:instrText>
      </w:r>
      <w:r w:rsidRPr="004F4E3A">
        <w:rPr>
          <w:rFonts w:ascii="Times New Roman" w:eastAsia="Times New Roman" w:hAnsi="Times New Roman" w:cs="Times New Roman"/>
          <w:sz w:val="24"/>
          <w:szCs w:val="24"/>
        </w:rPr>
        <w:fldChar w:fldCharType="separate"/>
      </w:r>
      <w:r w:rsidRPr="004F4E3A">
        <w:rPr>
          <w:rFonts w:ascii="Times New Roman" w:eastAsia="Times New Roman" w:hAnsi="Times New Roman" w:cs="Times New Roman"/>
          <w:color w:val="0000FF"/>
          <w:sz w:val="24"/>
          <w:szCs w:val="24"/>
          <w:u w:val="single"/>
        </w:rPr>
        <w:t xml:space="preserve">Laurent </w:t>
      </w:r>
      <w:proofErr w:type="spellStart"/>
      <w:r w:rsidRPr="004F4E3A">
        <w:rPr>
          <w:rFonts w:ascii="Times New Roman" w:eastAsia="Times New Roman" w:hAnsi="Times New Roman" w:cs="Times New Roman"/>
          <w:color w:val="0000FF"/>
          <w:sz w:val="24"/>
          <w:szCs w:val="24"/>
          <w:u w:val="single"/>
        </w:rPr>
        <w:t>Charlet</w:t>
      </w:r>
      <w:proofErr w:type="spellEnd"/>
      <w:r w:rsidRPr="004F4E3A">
        <w:rPr>
          <w:rFonts w:ascii="Times New Roman" w:eastAsia="Times New Roman" w:hAnsi="Times New Roman" w:cs="Times New Roman"/>
          <w:color w:val="0000FF"/>
          <w:sz w:val="24"/>
          <w:szCs w:val="24"/>
          <w:u w:val="single"/>
        </w:rPr>
        <w:t xml:space="preserve"> </w:t>
      </w:r>
      <w:r w:rsidRPr="004F4E3A">
        <w:rPr>
          <w:rFonts w:ascii="Times New Roman" w:eastAsia="Times New Roman" w:hAnsi="Times New Roman" w:cs="Times New Roman"/>
          <w:color w:val="0000FF"/>
          <w:sz w:val="24"/>
          <w:szCs w:val="24"/>
          <w:u w:val="single"/>
          <w:vertAlign w:val="superscript"/>
        </w:rPr>
        <w:t>2</w:t>
      </w:r>
      <w:r w:rsidRPr="004F4E3A">
        <w:rPr>
          <w:rFonts w:ascii="Times New Roman" w:eastAsia="Times New Roman" w:hAnsi="Times New Roman" w:cs="Times New Roman"/>
          <w:sz w:val="24"/>
          <w:szCs w:val="24"/>
        </w:rPr>
        <w:fldChar w:fldCharType="end"/>
      </w:r>
      <w:bookmarkEnd w:id="0"/>
      <w:r w:rsidRPr="004F4E3A">
        <w:rPr>
          <w:rFonts w:ascii="Times New Roman" w:eastAsia="Times New Roman" w:hAnsi="Times New Roman" w:cs="Times New Roman"/>
          <w:sz w:val="24"/>
          <w:szCs w:val="24"/>
        </w:rPr>
        <w:t xml:space="preserve">, , , , </w:t>
      </w:r>
    </w:p>
    <w:p w:rsidR="004F4E3A" w:rsidRPr="004F4E3A" w:rsidRDefault="004F4E3A" w:rsidP="004F4E3A">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4F4E3A">
          <w:rPr>
            <w:rFonts w:ascii="Times New Roman" w:eastAsia="Times New Roman" w:hAnsi="Times New Roman" w:cs="Times New Roman"/>
            <w:color w:val="0000FF"/>
            <w:sz w:val="24"/>
            <w:szCs w:val="24"/>
            <w:u w:val="single"/>
          </w:rPr>
          <w:t>https://doi.org/10.1016/j.gca.2005.06.013</w:t>
        </w:r>
      </w:hyperlink>
      <w:bookmarkStart w:id="1" w:name="_GoBack"/>
      <w:bookmarkEnd w:id="1"/>
      <w:r w:rsidRPr="004F4E3A">
        <w:rPr>
          <w:rFonts w:ascii="Times New Roman" w:eastAsia="Times New Roman" w:hAnsi="Times New Roman" w:cs="Times New Roman"/>
          <w:sz w:val="24"/>
          <w:szCs w:val="24"/>
        </w:rPr>
        <w:t xml:space="preserve"> </w:t>
      </w:r>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Abstract</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The redox properties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onto a series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 xml:space="preserve">)oxides (goethite, </w:t>
      </w:r>
      <w:hyperlink r:id="rId5" w:tooltip="Learn more about lepidocrocite from ScienceDirect's AI-generated Topic Pages" w:history="1">
        <w:r w:rsidRPr="004F4E3A">
          <w:rPr>
            <w:rFonts w:ascii="Times New Roman" w:eastAsia="Times New Roman" w:hAnsi="Times New Roman" w:cs="Times New Roman"/>
            <w:color w:val="0000FF"/>
            <w:sz w:val="24"/>
            <w:szCs w:val="24"/>
            <w:u w:val="single"/>
          </w:rPr>
          <w:t>lepidocrocite</w:t>
        </w:r>
      </w:hyperlink>
      <w:r w:rsidRPr="004F4E3A">
        <w:rPr>
          <w:rFonts w:ascii="Times New Roman" w:eastAsia="Times New Roman" w:hAnsi="Times New Roman" w:cs="Times New Roman"/>
          <w:sz w:val="24"/>
          <w:szCs w:val="24"/>
        </w:rPr>
        <w:t>, nano-sized ferric oxide hydrate (nano-FOH), and hydrous ferric oxide (HFO)) have been investigated by rest potential measurements at a platinum electrode, as a function of pH (−log</w:t>
      </w:r>
      <w:r w:rsidRPr="004F4E3A">
        <w:rPr>
          <w:rFonts w:ascii="Times New Roman" w:eastAsia="Times New Roman" w:hAnsi="Times New Roman" w:cs="Times New Roman"/>
          <w:sz w:val="24"/>
          <w:szCs w:val="24"/>
          <w:vertAlign w:val="subscript"/>
        </w:rPr>
        <w:t>10</w:t>
      </w:r>
      <w:r w:rsidRPr="004F4E3A">
        <w:rPr>
          <w:rFonts w:ascii="Times New Roman" w:eastAsia="Times New Roman" w:hAnsi="Times New Roman" w:cs="Times New Roman"/>
          <w:sz w:val="24"/>
          <w:szCs w:val="24"/>
        </w:rPr>
        <w:t>[H</w:t>
      </w:r>
      <w:r w:rsidRPr="004F4E3A">
        <w:rPr>
          <w:rFonts w:ascii="Times New Roman" w:eastAsia="Times New Roman" w:hAnsi="Times New Roman" w:cs="Times New Roman"/>
          <w:sz w:val="24"/>
          <w:szCs w:val="24"/>
          <w:vertAlign w:val="superscript"/>
        </w:rPr>
        <w:t>+</w:t>
      </w:r>
      <w:r w:rsidRPr="004F4E3A">
        <w:rPr>
          <w:rFonts w:ascii="Times New Roman" w:eastAsia="Times New Roman" w:hAnsi="Times New Roman" w:cs="Times New Roman"/>
          <w:sz w:val="24"/>
          <w:szCs w:val="24"/>
        </w:rPr>
        <w:t xml:space="preserve">]) and surface coverage. Using the constant capacitance surface complexation model to describe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adsorption onto these substrates, theoretical values of the suspension </w:t>
      </w:r>
      <w:hyperlink r:id="rId6" w:tooltip="Learn more about redox potential from ScienceDirect's AI-generated Topic Pages" w:history="1">
        <w:r w:rsidRPr="004F4E3A">
          <w:rPr>
            <w:rFonts w:ascii="Times New Roman" w:eastAsia="Times New Roman" w:hAnsi="Times New Roman" w:cs="Times New Roman"/>
            <w:color w:val="0000FF"/>
            <w:sz w:val="24"/>
            <w:szCs w:val="24"/>
            <w:u w:val="single"/>
          </w:rPr>
          <w:t>redox potential</w:t>
        </w:r>
      </w:hyperlink>
      <w:r w:rsidRPr="004F4E3A">
        <w:rPr>
          <w:rFonts w:ascii="Times New Roman" w:eastAsia="Times New Roman" w:hAnsi="Times New Roman" w:cs="Times New Roman"/>
          <w:sz w:val="24"/>
          <w:szCs w:val="24"/>
        </w:rPr>
        <w:t xml:space="preserve"> (</w:t>
      </w:r>
      <w:r w:rsidRPr="004F4E3A">
        <w:rPr>
          <w:rFonts w:ascii="Times New Roman" w:eastAsia="Times New Roman" w:hAnsi="Times New Roman" w:cs="Times New Roman"/>
          <w:i/>
          <w:iCs/>
          <w:sz w:val="24"/>
          <w:szCs w:val="24"/>
        </w:rPr>
        <w:t>E</w:t>
      </w:r>
      <w:r w:rsidRPr="004F4E3A">
        <w:rPr>
          <w:rFonts w:ascii="Times New Roman" w:eastAsia="Times New Roman" w:hAnsi="Times New Roman" w:cs="Times New Roman"/>
          <w:sz w:val="24"/>
          <w:szCs w:val="24"/>
          <w:vertAlign w:val="subscript"/>
        </w:rPr>
        <w:t>H</w:t>
      </w:r>
      <w:r w:rsidRPr="004F4E3A">
        <w:rPr>
          <w:rFonts w:ascii="Times New Roman" w:eastAsia="Times New Roman" w:hAnsi="Times New Roman" w:cs="Times New Roman"/>
          <w:sz w:val="24"/>
          <w:szCs w:val="24"/>
        </w:rPr>
        <w:t xml:space="preserve">) have been computed, under the assumption that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adsorption occurs at crystal growth sites of the substrate surface. Good agreement between calculated and experimental </w:t>
      </w:r>
      <w:r w:rsidRPr="004F4E3A">
        <w:rPr>
          <w:rFonts w:ascii="Times New Roman" w:eastAsia="Times New Roman" w:hAnsi="Times New Roman" w:cs="Times New Roman"/>
          <w:i/>
          <w:iCs/>
          <w:sz w:val="24"/>
          <w:szCs w:val="24"/>
        </w:rPr>
        <w:t>E</w:t>
      </w:r>
      <w:r w:rsidRPr="004F4E3A">
        <w:rPr>
          <w:rFonts w:ascii="Times New Roman" w:eastAsia="Times New Roman" w:hAnsi="Times New Roman" w:cs="Times New Roman"/>
          <w:sz w:val="24"/>
          <w:szCs w:val="24"/>
          <w:vertAlign w:val="subscript"/>
        </w:rPr>
        <w:t>H</w:t>
      </w:r>
      <w:r w:rsidRPr="004F4E3A">
        <w:rPr>
          <w:rFonts w:ascii="Times New Roman" w:eastAsia="Times New Roman" w:hAnsi="Times New Roman" w:cs="Times New Roman"/>
          <w:sz w:val="24"/>
          <w:szCs w:val="24"/>
        </w:rPr>
        <w:t xml:space="preserve"> values is observed for nano-FOH and HFO, however the redox potentials measured for lepidocrocite and </w:t>
      </w:r>
      <w:hyperlink r:id="rId7" w:tooltip="Learn more about goethite from ScienceDirect's AI-generated Topic Pages" w:history="1">
        <w:r w:rsidRPr="004F4E3A">
          <w:rPr>
            <w:rFonts w:ascii="Times New Roman" w:eastAsia="Times New Roman" w:hAnsi="Times New Roman" w:cs="Times New Roman"/>
            <w:color w:val="0000FF"/>
            <w:sz w:val="24"/>
            <w:szCs w:val="24"/>
            <w:u w:val="single"/>
          </w:rPr>
          <w:t>goethite</w:t>
        </w:r>
      </w:hyperlink>
      <w:r w:rsidRPr="004F4E3A">
        <w:rPr>
          <w:rFonts w:ascii="Times New Roman" w:eastAsia="Times New Roman" w:hAnsi="Times New Roman" w:cs="Times New Roman"/>
          <w:sz w:val="24"/>
          <w:szCs w:val="24"/>
        </w:rPr>
        <w:t xml:space="preserve"> are significantly more oxidizing than predicted. </w:t>
      </w:r>
      <w:proofErr w:type="spellStart"/>
      <w:r w:rsidRPr="004F4E3A">
        <w:rPr>
          <w:rFonts w:ascii="Times New Roman" w:eastAsia="Times New Roman" w:hAnsi="Times New Roman" w:cs="Times New Roman"/>
          <w:sz w:val="24"/>
          <w:szCs w:val="24"/>
        </w:rPr>
        <w:t>Mössbauer</w:t>
      </w:r>
      <w:proofErr w:type="spellEnd"/>
      <w:r w:rsidRPr="004F4E3A">
        <w:rPr>
          <w:rFonts w:ascii="Times New Roman" w:eastAsia="Times New Roman" w:hAnsi="Times New Roman" w:cs="Times New Roman"/>
          <w:sz w:val="24"/>
          <w:szCs w:val="24"/>
        </w:rPr>
        <w:t xml:space="preserve"> </w:t>
      </w:r>
      <w:hyperlink r:id="rId8" w:tooltip="Learn more about spectroscopic analysis from ScienceDirect's AI-generated Topic Pages" w:history="1">
        <w:r w:rsidRPr="004F4E3A">
          <w:rPr>
            <w:rFonts w:ascii="Times New Roman" w:eastAsia="Times New Roman" w:hAnsi="Times New Roman" w:cs="Times New Roman"/>
            <w:color w:val="0000FF"/>
            <w:sz w:val="24"/>
            <w:szCs w:val="24"/>
            <w:u w:val="single"/>
          </w:rPr>
          <w:t>spectroscopic analysis</w:t>
        </w:r>
      </w:hyperlink>
      <w:r w:rsidRPr="004F4E3A">
        <w:rPr>
          <w:rFonts w:ascii="Times New Roman" w:eastAsia="Times New Roman" w:hAnsi="Times New Roman" w:cs="Times New Roman"/>
          <w:sz w:val="24"/>
          <w:szCs w:val="24"/>
        </w:rPr>
        <w:t xml:space="preserve"> of </w:t>
      </w:r>
      <w:r w:rsidRPr="004F4E3A">
        <w:rPr>
          <w:rFonts w:ascii="Times New Roman" w:eastAsia="Times New Roman" w:hAnsi="Times New Roman" w:cs="Times New Roman"/>
          <w:sz w:val="24"/>
          <w:szCs w:val="24"/>
          <w:vertAlign w:val="superscript"/>
        </w:rPr>
        <w:t>57</w:t>
      </w:r>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r w:rsidRPr="004F4E3A">
        <w:rPr>
          <w:rFonts w:ascii="Times New Roman" w:eastAsia="Times New Roman" w:hAnsi="Times New Roman" w:cs="Times New Roman"/>
          <w:sz w:val="24"/>
          <w:szCs w:val="24"/>
        </w:rPr>
        <w:t xml:space="preserve"> adsorbed onto HFO and goethite shows that in both cases the adsorbed </w:t>
      </w:r>
      <w:r w:rsidRPr="004F4E3A">
        <w:rPr>
          <w:rFonts w:ascii="Times New Roman" w:eastAsia="Times New Roman" w:hAnsi="Times New Roman" w:cs="Times New Roman"/>
          <w:sz w:val="24"/>
          <w:szCs w:val="24"/>
          <w:vertAlign w:val="superscript"/>
        </w:rPr>
        <w:t>57</w:t>
      </w:r>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r w:rsidRPr="004F4E3A">
        <w:rPr>
          <w:rFonts w:ascii="Times New Roman" w:eastAsia="Times New Roman" w:hAnsi="Times New Roman" w:cs="Times New Roman"/>
          <w:sz w:val="24"/>
          <w:szCs w:val="24"/>
        </w:rPr>
        <w:t xml:space="preserve"> is incorporated into the crystal structure of the substrate, in broad agreement with the thermodynamic model, but is almost completely oxidized to </w:t>
      </w:r>
      <w:r w:rsidRPr="004F4E3A">
        <w:rPr>
          <w:rFonts w:ascii="Times New Roman" w:eastAsia="Times New Roman" w:hAnsi="Times New Roman" w:cs="Times New Roman"/>
          <w:sz w:val="24"/>
          <w:szCs w:val="24"/>
          <w:vertAlign w:val="superscript"/>
        </w:rPr>
        <w:t>57</w:t>
      </w:r>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r w:rsidRPr="004F4E3A">
        <w:rPr>
          <w:rFonts w:ascii="Times New Roman" w:eastAsia="Times New Roman" w:hAnsi="Times New Roman" w:cs="Times New Roman"/>
          <w:sz w:val="24"/>
          <w:szCs w:val="24"/>
        </w:rPr>
        <w:t xml:space="preserve">. The mechanism by which the adsorbed </w:t>
      </w:r>
      <w:r w:rsidRPr="004F4E3A">
        <w:rPr>
          <w:rFonts w:ascii="Times New Roman" w:eastAsia="Times New Roman" w:hAnsi="Times New Roman" w:cs="Times New Roman"/>
          <w:sz w:val="24"/>
          <w:szCs w:val="24"/>
          <w:vertAlign w:val="superscript"/>
        </w:rPr>
        <w:t>57</w:t>
      </w:r>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r w:rsidRPr="004F4E3A">
        <w:rPr>
          <w:rFonts w:ascii="Times New Roman" w:eastAsia="Times New Roman" w:hAnsi="Times New Roman" w:cs="Times New Roman"/>
          <w:sz w:val="24"/>
          <w:szCs w:val="24"/>
        </w:rPr>
        <w:t xml:space="preserve"> is oxidized is not resolved in this work, but is thought to be due to </w:t>
      </w:r>
      <w:hyperlink r:id="rId9" w:tooltip="Learn more about electron transfer from ScienceDirect's AI-generated Topic Pages" w:history="1">
        <w:r w:rsidRPr="004F4E3A">
          <w:rPr>
            <w:rFonts w:ascii="Times New Roman" w:eastAsia="Times New Roman" w:hAnsi="Times New Roman" w:cs="Times New Roman"/>
            <w:color w:val="0000FF"/>
            <w:sz w:val="24"/>
            <w:szCs w:val="24"/>
            <w:u w:val="single"/>
          </w:rPr>
          <w:t>electron transfer</w:t>
        </w:r>
      </w:hyperlink>
      <w:r w:rsidRPr="004F4E3A">
        <w:rPr>
          <w:rFonts w:ascii="Times New Roman" w:eastAsia="Times New Roman" w:hAnsi="Times New Roman" w:cs="Times New Roman"/>
          <w:sz w:val="24"/>
          <w:szCs w:val="24"/>
        </w:rPr>
        <w:t xml:space="preserve"> to the substrate, rather than a net oxidation of the suspension. The disagreement between experimental and calculated rest potential measurements in the goethite and lepidocrocite systems is thought to be due to the poor electrochemical equilibration of these suspensions with the platinum electrode, rather than a failure of the thermodynamic model. The model developed for the redox potential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allows direct assessment of the reactivity of this species towards oxidized pollutants.</w:t>
      </w:r>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Introduction</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Over the past decade a number of studies have reported on the enhanced rate of electron transfer from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 mineral surfaces, compared to that which occurs in bulk solution (e.g., </w:t>
      </w:r>
      <w:proofErr w:type="spellStart"/>
      <w:r w:rsidRPr="004F4E3A">
        <w:rPr>
          <w:rFonts w:ascii="Times New Roman" w:eastAsia="Times New Roman" w:hAnsi="Times New Roman" w:cs="Times New Roman"/>
          <w:sz w:val="24"/>
          <w:szCs w:val="24"/>
        </w:rPr>
        <w:t>Stumm</w:t>
      </w:r>
      <w:proofErr w:type="spellEnd"/>
      <w:r w:rsidRPr="004F4E3A">
        <w:rPr>
          <w:rFonts w:ascii="Times New Roman" w:eastAsia="Times New Roman" w:hAnsi="Times New Roman" w:cs="Times New Roman"/>
          <w:sz w:val="24"/>
          <w:szCs w:val="24"/>
        </w:rPr>
        <w:t xml:space="preserve"> and Sulzberger 1992, </w:t>
      </w:r>
      <w:proofErr w:type="spellStart"/>
      <w:r w:rsidRPr="004F4E3A">
        <w:rPr>
          <w:rFonts w:ascii="Times New Roman" w:eastAsia="Times New Roman" w:hAnsi="Times New Roman" w:cs="Times New Roman"/>
          <w:sz w:val="24"/>
          <w:szCs w:val="24"/>
        </w:rPr>
        <w:t>Haderlein</w:t>
      </w:r>
      <w:proofErr w:type="spellEnd"/>
      <w:r w:rsidRPr="004F4E3A">
        <w:rPr>
          <w:rFonts w:ascii="Times New Roman" w:eastAsia="Times New Roman" w:hAnsi="Times New Roman" w:cs="Times New Roman"/>
          <w:sz w:val="24"/>
          <w:szCs w:val="24"/>
        </w:rPr>
        <w:t xml:space="preserve"> and </w:t>
      </w:r>
      <w:proofErr w:type="spellStart"/>
      <w:r w:rsidRPr="004F4E3A">
        <w:rPr>
          <w:rFonts w:ascii="Times New Roman" w:eastAsia="Times New Roman" w:hAnsi="Times New Roman" w:cs="Times New Roman"/>
          <w:sz w:val="24"/>
          <w:szCs w:val="24"/>
        </w:rPr>
        <w:t>Pecher</w:t>
      </w:r>
      <w:proofErr w:type="spellEnd"/>
      <w:r w:rsidRPr="004F4E3A">
        <w:rPr>
          <w:rFonts w:ascii="Times New Roman" w:eastAsia="Times New Roman" w:hAnsi="Times New Roman" w:cs="Times New Roman"/>
          <w:sz w:val="24"/>
          <w:szCs w:val="24"/>
        </w:rPr>
        <w:t xml:space="preserve"> 1999). This enhancement in reactivity has been attributed to the effect of oxygen coordination of the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at surface sites (</w:t>
      </w:r>
      <w:proofErr w:type="spellStart"/>
      <w:r w:rsidRPr="004F4E3A">
        <w:rPr>
          <w:rFonts w:ascii="Times New Roman" w:eastAsia="Times New Roman" w:hAnsi="Times New Roman" w:cs="Times New Roman"/>
          <w:sz w:val="24"/>
          <w:szCs w:val="24"/>
        </w:rPr>
        <w:t>Werhli</w:t>
      </w:r>
      <w:proofErr w:type="spellEnd"/>
      <w:r w:rsidRPr="004F4E3A">
        <w:rPr>
          <w:rFonts w:ascii="Times New Roman" w:eastAsia="Times New Roman" w:hAnsi="Times New Roman" w:cs="Times New Roman"/>
          <w:sz w:val="24"/>
          <w:szCs w:val="24"/>
        </w:rPr>
        <w:t xml:space="preserve"> et al., 1989), similar to that which occurs upon hydrolysis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in solution. Surface enhancement of electron transfer from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occurs in a number of systems including; the reduction of nitrite by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 goethite (α-</w:t>
      </w:r>
      <w:proofErr w:type="spellStart"/>
      <w:r w:rsidRPr="004F4E3A">
        <w:rPr>
          <w:rFonts w:ascii="Times New Roman" w:eastAsia="Times New Roman" w:hAnsi="Times New Roman" w:cs="Times New Roman"/>
          <w:sz w:val="24"/>
          <w:szCs w:val="24"/>
        </w:rPr>
        <w:t>FeOOH</w:t>
      </w:r>
      <w:proofErr w:type="spellEnd"/>
      <w:r w:rsidRPr="004F4E3A">
        <w:rPr>
          <w:rFonts w:ascii="Times New Roman" w:eastAsia="Times New Roman" w:hAnsi="Times New Roman" w:cs="Times New Roman"/>
          <w:sz w:val="24"/>
          <w:szCs w:val="24"/>
        </w:rPr>
        <w:t>) (</w:t>
      </w:r>
      <w:proofErr w:type="spellStart"/>
      <w:r w:rsidRPr="004F4E3A">
        <w:rPr>
          <w:rFonts w:ascii="Times New Roman" w:eastAsia="Times New Roman" w:hAnsi="Times New Roman" w:cs="Times New Roman"/>
          <w:sz w:val="24"/>
          <w:szCs w:val="24"/>
        </w:rPr>
        <w:t>Sørensen</w:t>
      </w:r>
      <w:proofErr w:type="spellEnd"/>
      <w:r w:rsidRPr="004F4E3A">
        <w:rPr>
          <w:rFonts w:ascii="Times New Roman" w:eastAsia="Times New Roman" w:hAnsi="Times New Roman" w:cs="Times New Roman"/>
          <w:sz w:val="24"/>
          <w:szCs w:val="24"/>
        </w:rPr>
        <w:t xml:space="preserve"> and </w:t>
      </w:r>
      <w:proofErr w:type="spellStart"/>
      <w:r w:rsidRPr="004F4E3A">
        <w:rPr>
          <w:rFonts w:ascii="Times New Roman" w:eastAsia="Times New Roman" w:hAnsi="Times New Roman" w:cs="Times New Roman"/>
          <w:sz w:val="24"/>
          <w:szCs w:val="24"/>
        </w:rPr>
        <w:t>Thorling</w:t>
      </w:r>
      <w:proofErr w:type="spellEnd"/>
      <w:r w:rsidRPr="004F4E3A">
        <w:rPr>
          <w:rFonts w:ascii="Times New Roman" w:eastAsia="Times New Roman" w:hAnsi="Times New Roman" w:cs="Times New Roman"/>
          <w:sz w:val="24"/>
          <w:szCs w:val="24"/>
        </w:rPr>
        <w:t xml:space="preserve">, 1991), reduction of substituted nitroaromatics by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 magnetite (Fe</w:t>
      </w:r>
      <w:r w:rsidRPr="004F4E3A">
        <w:rPr>
          <w:rFonts w:ascii="Times New Roman" w:eastAsia="Times New Roman" w:hAnsi="Times New Roman" w:cs="Times New Roman"/>
          <w:sz w:val="24"/>
          <w:szCs w:val="24"/>
          <w:vertAlign w:val="subscript"/>
        </w:rPr>
        <w:t>3</w:t>
      </w:r>
      <w:r w:rsidRPr="004F4E3A">
        <w:rPr>
          <w:rFonts w:ascii="Times New Roman" w:eastAsia="Times New Roman" w:hAnsi="Times New Roman" w:cs="Times New Roman"/>
          <w:sz w:val="24"/>
          <w:szCs w:val="24"/>
        </w:rPr>
        <w:t>O</w:t>
      </w:r>
      <w:r w:rsidRPr="004F4E3A">
        <w:rPr>
          <w:rFonts w:ascii="Times New Roman" w:eastAsia="Times New Roman" w:hAnsi="Times New Roman" w:cs="Times New Roman"/>
          <w:sz w:val="24"/>
          <w:szCs w:val="24"/>
          <w:vertAlign w:val="subscript"/>
        </w:rPr>
        <w:t>4</w:t>
      </w:r>
      <w:r w:rsidRPr="004F4E3A">
        <w:rPr>
          <w:rFonts w:ascii="Times New Roman" w:eastAsia="Times New Roman" w:hAnsi="Times New Roman" w:cs="Times New Roman"/>
          <w:sz w:val="24"/>
          <w:szCs w:val="24"/>
        </w:rPr>
        <w:t>), goethite and lepidocrocite (γ-</w:t>
      </w:r>
      <w:proofErr w:type="spellStart"/>
      <w:r w:rsidRPr="004F4E3A">
        <w:rPr>
          <w:rFonts w:ascii="Times New Roman" w:eastAsia="Times New Roman" w:hAnsi="Times New Roman" w:cs="Times New Roman"/>
          <w:sz w:val="24"/>
          <w:szCs w:val="24"/>
        </w:rPr>
        <w:t>FeOOH</w:t>
      </w:r>
      <w:proofErr w:type="spellEnd"/>
      <w:r w:rsidRPr="004F4E3A">
        <w:rPr>
          <w:rFonts w:ascii="Times New Roman" w:eastAsia="Times New Roman" w:hAnsi="Times New Roman" w:cs="Times New Roman"/>
          <w:sz w:val="24"/>
          <w:szCs w:val="24"/>
        </w:rPr>
        <w:t>) (</w:t>
      </w:r>
      <w:proofErr w:type="spellStart"/>
      <w:r w:rsidRPr="004F4E3A">
        <w:rPr>
          <w:rFonts w:ascii="Times New Roman" w:eastAsia="Times New Roman" w:hAnsi="Times New Roman" w:cs="Times New Roman"/>
          <w:sz w:val="24"/>
          <w:szCs w:val="24"/>
        </w:rPr>
        <w:t>Klausen</w:t>
      </w:r>
      <w:proofErr w:type="spellEnd"/>
      <w:r w:rsidRPr="004F4E3A">
        <w:rPr>
          <w:rFonts w:ascii="Times New Roman" w:eastAsia="Times New Roman" w:hAnsi="Times New Roman" w:cs="Times New Roman"/>
          <w:sz w:val="24"/>
          <w:szCs w:val="24"/>
        </w:rPr>
        <w:t xml:space="preserve"> et al 1995, Hofstetter et al 1999, Elsner et al 2004, Gregory et al 2004), the reduction of the uranyl ion (UO</w:t>
      </w:r>
      <w:r w:rsidRPr="004F4E3A">
        <w:rPr>
          <w:rFonts w:ascii="Times New Roman" w:eastAsia="Times New Roman" w:hAnsi="Times New Roman" w:cs="Times New Roman"/>
          <w:sz w:val="24"/>
          <w:szCs w:val="24"/>
          <w:vertAlign w:val="subscript"/>
        </w:rPr>
        <w:t>2</w:t>
      </w:r>
      <w:r w:rsidRPr="004F4E3A">
        <w:rPr>
          <w:rFonts w:ascii="Times New Roman" w:eastAsia="Times New Roman" w:hAnsi="Times New Roman" w:cs="Times New Roman"/>
          <w:sz w:val="24"/>
          <w:szCs w:val="24"/>
          <w:vertAlign w:val="superscript"/>
        </w:rPr>
        <w:t>2+</w:t>
      </w:r>
      <w:r w:rsidRPr="004F4E3A">
        <w:rPr>
          <w:rFonts w:ascii="Times New Roman" w:eastAsia="Times New Roman" w:hAnsi="Times New Roman" w:cs="Times New Roman"/>
          <w:sz w:val="24"/>
          <w:szCs w:val="24"/>
        </w:rPr>
        <w:t xml:space="preserve">) by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 ferric oxide nanoparticles (Liger et al., 1999), the reduction of chromate (CrO</w:t>
      </w:r>
      <w:r w:rsidRPr="004F4E3A">
        <w:rPr>
          <w:rFonts w:ascii="Times New Roman" w:eastAsia="Times New Roman" w:hAnsi="Times New Roman" w:cs="Times New Roman"/>
          <w:sz w:val="24"/>
          <w:szCs w:val="24"/>
          <w:vertAlign w:val="subscript"/>
        </w:rPr>
        <w:t>4</w:t>
      </w:r>
      <w:r w:rsidRPr="004F4E3A">
        <w:rPr>
          <w:rFonts w:ascii="Times New Roman" w:eastAsia="Times New Roman" w:hAnsi="Times New Roman" w:cs="Times New Roman"/>
          <w:sz w:val="24"/>
          <w:szCs w:val="24"/>
          <w:vertAlign w:val="superscript"/>
        </w:rPr>
        <w:t>2−</w:t>
      </w:r>
      <w:r w:rsidRPr="004F4E3A">
        <w:rPr>
          <w:rFonts w:ascii="Times New Roman" w:eastAsia="Times New Roman" w:hAnsi="Times New Roman" w:cs="Times New Roman"/>
          <w:sz w:val="24"/>
          <w:szCs w:val="24"/>
        </w:rPr>
        <w:t xml:space="preserve">) by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 goethite and lepidocrocite (</w:t>
      </w:r>
      <w:proofErr w:type="spellStart"/>
      <w:r w:rsidRPr="004F4E3A">
        <w:rPr>
          <w:rFonts w:ascii="Times New Roman" w:eastAsia="Times New Roman" w:hAnsi="Times New Roman" w:cs="Times New Roman"/>
          <w:sz w:val="24"/>
          <w:szCs w:val="24"/>
        </w:rPr>
        <w:t>Buerge</w:t>
      </w:r>
      <w:proofErr w:type="spellEnd"/>
      <w:r w:rsidRPr="004F4E3A">
        <w:rPr>
          <w:rFonts w:ascii="Times New Roman" w:eastAsia="Times New Roman" w:hAnsi="Times New Roman" w:cs="Times New Roman"/>
          <w:sz w:val="24"/>
          <w:szCs w:val="24"/>
        </w:rPr>
        <w:t xml:space="preserve"> and Hug, 1999), and the reduction of chlorinated alkanes by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onto a range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)oxides (</w:t>
      </w:r>
      <w:proofErr w:type="spellStart"/>
      <w:r w:rsidRPr="004F4E3A">
        <w:rPr>
          <w:rFonts w:ascii="Times New Roman" w:eastAsia="Times New Roman" w:hAnsi="Times New Roman" w:cs="Times New Roman"/>
          <w:sz w:val="24"/>
          <w:szCs w:val="24"/>
        </w:rPr>
        <w:t>Amonette</w:t>
      </w:r>
      <w:proofErr w:type="spellEnd"/>
      <w:r w:rsidRPr="004F4E3A">
        <w:rPr>
          <w:rFonts w:ascii="Times New Roman" w:eastAsia="Times New Roman" w:hAnsi="Times New Roman" w:cs="Times New Roman"/>
          <w:sz w:val="24"/>
          <w:szCs w:val="24"/>
        </w:rPr>
        <w:t xml:space="preserve"> et al 2000, </w:t>
      </w:r>
      <w:proofErr w:type="spellStart"/>
      <w:r w:rsidRPr="004F4E3A">
        <w:rPr>
          <w:rFonts w:ascii="Times New Roman" w:eastAsia="Times New Roman" w:hAnsi="Times New Roman" w:cs="Times New Roman"/>
          <w:sz w:val="24"/>
          <w:szCs w:val="24"/>
        </w:rPr>
        <w:t>Pecher</w:t>
      </w:r>
      <w:proofErr w:type="spellEnd"/>
      <w:r w:rsidRPr="004F4E3A">
        <w:rPr>
          <w:rFonts w:ascii="Times New Roman" w:eastAsia="Times New Roman" w:hAnsi="Times New Roman" w:cs="Times New Roman"/>
          <w:sz w:val="24"/>
          <w:szCs w:val="24"/>
        </w:rPr>
        <w:t xml:space="preserve"> et al 2002, Elsner et al 2004, </w:t>
      </w:r>
      <w:proofErr w:type="spellStart"/>
      <w:r w:rsidRPr="004F4E3A">
        <w:rPr>
          <w:rFonts w:ascii="Times New Roman" w:eastAsia="Times New Roman" w:hAnsi="Times New Roman" w:cs="Times New Roman"/>
          <w:sz w:val="24"/>
          <w:szCs w:val="24"/>
        </w:rPr>
        <w:t>Maithreepala</w:t>
      </w:r>
      <w:proofErr w:type="spellEnd"/>
      <w:r w:rsidRPr="004F4E3A">
        <w:rPr>
          <w:rFonts w:ascii="Times New Roman" w:eastAsia="Times New Roman" w:hAnsi="Times New Roman" w:cs="Times New Roman"/>
          <w:sz w:val="24"/>
          <w:szCs w:val="24"/>
        </w:rPr>
        <w:t xml:space="preserve"> and </w:t>
      </w:r>
      <w:proofErr w:type="spellStart"/>
      <w:r w:rsidRPr="004F4E3A">
        <w:rPr>
          <w:rFonts w:ascii="Times New Roman" w:eastAsia="Times New Roman" w:hAnsi="Times New Roman" w:cs="Times New Roman"/>
          <w:sz w:val="24"/>
          <w:szCs w:val="24"/>
        </w:rPr>
        <w:t>Doong</w:t>
      </w:r>
      <w:proofErr w:type="spellEnd"/>
      <w:r w:rsidRPr="004F4E3A">
        <w:rPr>
          <w:rFonts w:ascii="Times New Roman" w:eastAsia="Times New Roman" w:hAnsi="Times New Roman" w:cs="Times New Roman"/>
          <w:sz w:val="24"/>
          <w:szCs w:val="24"/>
        </w:rPr>
        <w:t xml:space="preserve"> 2004). The effect is not limited to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 xml:space="preserve">)oxides, with similar rate enhancement </w:t>
      </w:r>
      <w:r w:rsidRPr="004F4E3A">
        <w:rPr>
          <w:rFonts w:ascii="Times New Roman" w:eastAsia="Times New Roman" w:hAnsi="Times New Roman" w:cs="Times New Roman"/>
          <w:sz w:val="24"/>
          <w:szCs w:val="24"/>
        </w:rPr>
        <w:lastRenderedPageBreak/>
        <w:t xml:space="preserve">observed for the reduction of substituted nitrobenzene compounds by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onto kaolinite (</w:t>
      </w:r>
      <w:proofErr w:type="spellStart"/>
      <w:r w:rsidRPr="004F4E3A">
        <w:rPr>
          <w:rFonts w:ascii="Times New Roman" w:eastAsia="Times New Roman" w:hAnsi="Times New Roman" w:cs="Times New Roman"/>
          <w:sz w:val="24"/>
          <w:szCs w:val="24"/>
        </w:rPr>
        <w:t>Klausen</w:t>
      </w:r>
      <w:proofErr w:type="spellEnd"/>
      <w:r w:rsidRPr="004F4E3A">
        <w:rPr>
          <w:rFonts w:ascii="Times New Roman" w:eastAsia="Times New Roman" w:hAnsi="Times New Roman" w:cs="Times New Roman"/>
          <w:sz w:val="24"/>
          <w:szCs w:val="24"/>
        </w:rPr>
        <w:t xml:space="preserve"> et al., 1995) and nontronites (Hofstetter et al., 2003).</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The influence of the mineral substrate and local crystallographic environment on the redox level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remains largely unresolved. Hofstetter et al. (2003) found that for nontronite clays, structural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and edge-surface complexed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were considerably more reactive towards substituted </w:t>
      </w:r>
      <w:proofErr w:type="spellStart"/>
      <w:r w:rsidRPr="004F4E3A">
        <w:rPr>
          <w:rFonts w:ascii="Times New Roman" w:eastAsia="Times New Roman" w:hAnsi="Times New Roman" w:cs="Times New Roman"/>
          <w:sz w:val="24"/>
          <w:szCs w:val="24"/>
        </w:rPr>
        <w:t>nitrobenzenes</w:t>
      </w:r>
      <w:proofErr w:type="spellEnd"/>
      <w:r w:rsidRPr="004F4E3A">
        <w:rPr>
          <w:rFonts w:ascii="Times New Roman" w:eastAsia="Times New Roman" w:hAnsi="Times New Roman" w:cs="Times New Roman"/>
          <w:sz w:val="24"/>
          <w:szCs w:val="24"/>
        </w:rPr>
        <w:t xml:space="preserve"> than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exchanged onto the basal siloxane surfaces. The reactivity of surface complexed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also appears to be affected by the degree of hydrolysis of the adsorbed species. A strong correlation has been observed between the proportion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present as the hydrolyzed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r w:rsidRPr="004F4E3A">
        <w:rPr>
          <w:rFonts w:ascii="Times New Roman" w:eastAsia="Times New Roman" w:hAnsi="Times New Roman" w:cs="Times New Roman"/>
          <w:sz w:val="24"/>
          <w:szCs w:val="24"/>
        </w:rPr>
        <w:t>OFe</w:t>
      </w:r>
      <w:r w:rsidRPr="004F4E3A">
        <w:rPr>
          <w:rFonts w:ascii="Times New Roman" w:eastAsia="Times New Roman" w:hAnsi="Times New Roman" w:cs="Times New Roman"/>
          <w:sz w:val="24"/>
          <w:szCs w:val="24"/>
          <w:vertAlign w:val="superscript"/>
        </w:rPr>
        <w:t>II</w:t>
      </w:r>
      <w:r w:rsidRPr="004F4E3A">
        <w:rPr>
          <w:rFonts w:ascii="Times New Roman" w:eastAsia="Times New Roman" w:hAnsi="Times New Roman" w:cs="Times New Roman"/>
          <w:sz w:val="24"/>
          <w:szCs w:val="24"/>
        </w:rPr>
        <w:t>OH</w:t>
      </w:r>
      <w:proofErr w:type="spellEnd"/>
      <w:r w:rsidRPr="004F4E3A">
        <w:rPr>
          <w:rFonts w:ascii="Times New Roman" w:eastAsia="Times New Roman" w:hAnsi="Times New Roman" w:cs="Times New Roman"/>
          <w:sz w:val="24"/>
          <w:szCs w:val="24"/>
        </w:rPr>
        <w:t xml:space="preserve"> species, and the rates of reduction of 4-chloronitrobenzene (</w:t>
      </w:r>
      <w:proofErr w:type="spellStart"/>
      <w:r w:rsidRPr="004F4E3A">
        <w:rPr>
          <w:rFonts w:ascii="Times New Roman" w:eastAsia="Times New Roman" w:hAnsi="Times New Roman" w:cs="Times New Roman"/>
          <w:sz w:val="24"/>
          <w:szCs w:val="24"/>
        </w:rPr>
        <w:t>Charlet</w:t>
      </w:r>
      <w:proofErr w:type="spellEnd"/>
      <w:r w:rsidRPr="004F4E3A">
        <w:rPr>
          <w:rFonts w:ascii="Times New Roman" w:eastAsia="Times New Roman" w:hAnsi="Times New Roman" w:cs="Times New Roman"/>
          <w:sz w:val="24"/>
          <w:szCs w:val="24"/>
        </w:rPr>
        <w:t xml:space="preserve"> et al., 1998) and UO</w:t>
      </w:r>
      <w:r w:rsidRPr="004F4E3A">
        <w:rPr>
          <w:rFonts w:ascii="Times New Roman" w:eastAsia="Times New Roman" w:hAnsi="Times New Roman" w:cs="Times New Roman"/>
          <w:sz w:val="24"/>
          <w:szCs w:val="24"/>
          <w:vertAlign w:val="subscript"/>
        </w:rPr>
        <w:t>2</w:t>
      </w:r>
      <w:r w:rsidRPr="004F4E3A">
        <w:rPr>
          <w:rFonts w:ascii="Times New Roman" w:eastAsia="Times New Roman" w:hAnsi="Times New Roman" w:cs="Times New Roman"/>
          <w:sz w:val="24"/>
          <w:szCs w:val="24"/>
          <w:vertAlign w:val="superscript"/>
        </w:rPr>
        <w:t>2+</w:t>
      </w:r>
      <w:r w:rsidRPr="004F4E3A">
        <w:rPr>
          <w:rFonts w:ascii="Times New Roman" w:eastAsia="Times New Roman" w:hAnsi="Times New Roman" w:cs="Times New Roman"/>
          <w:sz w:val="24"/>
          <w:szCs w:val="24"/>
        </w:rPr>
        <w:t xml:space="preserve"> (Liger et al., 1999). This interpretation has been challenged more recently by Elsner et al. (2004) as it does not explicitly take into account the role of the mineral substrate on the reactivity of the adsorbed species. The counter argument is that the hydrolysis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will depend upon the nature of the substrate, and as there are very few systems in which the surface speciation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has been determined, it is rather difficult to state conclusively whether hydrolysis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generally leads to rate enhancement. What does seem likely is that the reactivity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will depend strongly on the speciation of the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cation, the local crystal chemical environment of the adsorption site, and on the energy of the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species produced from the electron transfer process.</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The work presented here further explores the role of the mineral substrate in controlling the reactivity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The three component chemical system that has been studied is H</w:t>
      </w:r>
      <w:r w:rsidRPr="004F4E3A">
        <w:rPr>
          <w:rFonts w:ascii="Times New Roman" w:eastAsia="Times New Roman" w:hAnsi="Times New Roman" w:cs="Times New Roman"/>
          <w:sz w:val="24"/>
          <w:szCs w:val="24"/>
          <w:vertAlign w:val="superscript"/>
        </w:rPr>
        <w:t>+</w:t>
      </w:r>
      <w:r w:rsidRPr="004F4E3A">
        <w:rPr>
          <w:rFonts w:ascii="Times New Roman" w:eastAsia="Times New Roman" w:hAnsi="Times New Roman" w:cs="Times New Roman"/>
          <w:sz w:val="24"/>
          <w:szCs w:val="24"/>
        </w:rPr>
        <w:t>-≡</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r w:rsidRPr="004F4E3A">
        <w:rPr>
          <w:rFonts w:ascii="Times New Roman" w:eastAsia="Times New Roman" w:hAnsi="Times New Roman" w:cs="Times New Roman"/>
          <w:sz w:val="24"/>
          <w:szCs w:val="24"/>
        </w:rPr>
        <w:t>OH-Fe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for the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)oxides; goethite (α-</w:t>
      </w:r>
      <w:proofErr w:type="spellStart"/>
      <w:r w:rsidRPr="004F4E3A">
        <w:rPr>
          <w:rFonts w:ascii="Times New Roman" w:eastAsia="Times New Roman" w:hAnsi="Times New Roman" w:cs="Times New Roman"/>
          <w:sz w:val="24"/>
          <w:szCs w:val="24"/>
        </w:rPr>
        <w:t>FeOOH</w:t>
      </w:r>
      <w:proofErr w:type="spellEnd"/>
      <w:r w:rsidRPr="004F4E3A">
        <w:rPr>
          <w:rFonts w:ascii="Times New Roman" w:eastAsia="Times New Roman" w:hAnsi="Times New Roman" w:cs="Times New Roman"/>
          <w:sz w:val="24"/>
          <w:szCs w:val="24"/>
        </w:rPr>
        <w:t>), lepidocrocite (γ-</w:t>
      </w:r>
      <w:proofErr w:type="spellStart"/>
      <w:r w:rsidRPr="004F4E3A">
        <w:rPr>
          <w:rFonts w:ascii="Times New Roman" w:eastAsia="Times New Roman" w:hAnsi="Times New Roman" w:cs="Times New Roman"/>
          <w:sz w:val="24"/>
          <w:szCs w:val="24"/>
        </w:rPr>
        <w:t>FeOOH</w:t>
      </w:r>
      <w:proofErr w:type="spellEnd"/>
      <w:r w:rsidRPr="004F4E3A">
        <w:rPr>
          <w:rFonts w:ascii="Times New Roman" w:eastAsia="Times New Roman" w:hAnsi="Times New Roman" w:cs="Times New Roman"/>
          <w:sz w:val="24"/>
          <w:szCs w:val="24"/>
        </w:rPr>
        <w:t>), nano-sized ferric oxide hydrate (nano-FOH; Fe</w:t>
      </w:r>
      <w:r w:rsidRPr="004F4E3A">
        <w:rPr>
          <w:rFonts w:ascii="Times New Roman" w:eastAsia="Times New Roman" w:hAnsi="Times New Roman" w:cs="Times New Roman"/>
          <w:sz w:val="24"/>
          <w:szCs w:val="24"/>
          <w:vertAlign w:val="subscript"/>
        </w:rPr>
        <w:t>2</w:t>
      </w:r>
      <w:r w:rsidRPr="004F4E3A">
        <w:rPr>
          <w:rFonts w:ascii="Times New Roman" w:eastAsia="Times New Roman" w:hAnsi="Times New Roman" w:cs="Times New Roman"/>
          <w:sz w:val="24"/>
          <w:szCs w:val="24"/>
        </w:rPr>
        <w:t>O</w:t>
      </w:r>
      <w:r w:rsidRPr="004F4E3A">
        <w:rPr>
          <w:rFonts w:ascii="Times New Roman" w:eastAsia="Times New Roman" w:hAnsi="Times New Roman" w:cs="Times New Roman"/>
          <w:sz w:val="24"/>
          <w:szCs w:val="24"/>
          <w:vertAlign w:val="subscript"/>
        </w:rPr>
        <w:t>3</w:t>
      </w:r>
      <w:r w:rsidRPr="004F4E3A">
        <w:rPr>
          <w:rFonts w:ascii="Times New Roman" w:eastAsia="Times New Roman" w:hAnsi="Times New Roman" w:cs="Times New Roman"/>
          <w:sz w:val="24"/>
          <w:szCs w:val="24"/>
        </w:rPr>
        <w:t> · xH</w:t>
      </w:r>
      <w:r w:rsidRPr="004F4E3A">
        <w:rPr>
          <w:rFonts w:ascii="Times New Roman" w:eastAsia="Times New Roman" w:hAnsi="Times New Roman" w:cs="Times New Roman"/>
          <w:sz w:val="24"/>
          <w:szCs w:val="24"/>
          <w:vertAlign w:val="subscript"/>
        </w:rPr>
        <w:t>2</w:t>
      </w:r>
      <w:r w:rsidRPr="004F4E3A">
        <w:rPr>
          <w:rFonts w:ascii="Times New Roman" w:eastAsia="Times New Roman" w:hAnsi="Times New Roman" w:cs="Times New Roman"/>
          <w:sz w:val="24"/>
          <w:szCs w:val="24"/>
        </w:rPr>
        <w:t>O), and hydrous ferric oxide (HFO; Fe</w:t>
      </w:r>
      <w:r w:rsidRPr="004F4E3A">
        <w:rPr>
          <w:rFonts w:ascii="Times New Roman" w:eastAsia="Times New Roman" w:hAnsi="Times New Roman" w:cs="Times New Roman"/>
          <w:sz w:val="24"/>
          <w:szCs w:val="24"/>
          <w:vertAlign w:val="subscript"/>
        </w:rPr>
        <w:t>5</w:t>
      </w:r>
      <w:r w:rsidRPr="004F4E3A">
        <w:rPr>
          <w:rFonts w:ascii="Times New Roman" w:eastAsia="Times New Roman" w:hAnsi="Times New Roman" w:cs="Times New Roman"/>
          <w:sz w:val="24"/>
          <w:szCs w:val="24"/>
        </w:rPr>
        <w:t>HO</w:t>
      </w:r>
      <w:r w:rsidRPr="004F4E3A">
        <w:rPr>
          <w:rFonts w:ascii="Times New Roman" w:eastAsia="Times New Roman" w:hAnsi="Times New Roman" w:cs="Times New Roman"/>
          <w:sz w:val="24"/>
          <w:szCs w:val="24"/>
          <w:vertAlign w:val="subscript"/>
        </w:rPr>
        <w:t>8</w:t>
      </w:r>
      <w:r w:rsidRPr="004F4E3A">
        <w:rPr>
          <w:rFonts w:ascii="Times New Roman" w:eastAsia="Times New Roman" w:hAnsi="Times New Roman" w:cs="Times New Roman"/>
          <w:sz w:val="24"/>
          <w:szCs w:val="24"/>
        </w:rPr>
        <w:t> · 4H</w:t>
      </w:r>
      <w:r w:rsidRPr="004F4E3A">
        <w:rPr>
          <w:rFonts w:ascii="Times New Roman" w:eastAsia="Times New Roman" w:hAnsi="Times New Roman" w:cs="Times New Roman"/>
          <w:sz w:val="24"/>
          <w:szCs w:val="24"/>
          <w:vertAlign w:val="subscript"/>
        </w:rPr>
        <w:t>2</w:t>
      </w:r>
      <w:r w:rsidRPr="004F4E3A">
        <w:rPr>
          <w:rFonts w:ascii="Times New Roman" w:eastAsia="Times New Roman" w:hAnsi="Times New Roman" w:cs="Times New Roman"/>
          <w:sz w:val="24"/>
          <w:szCs w:val="24"/>
        </w:rPr>
        <w:t>O), where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r w:rsidRPr="004F4E3A">
        <w:rPr>
          <w:rFonts w:ascii="Times New Roman" w:eastAsia="Times New Roman" w:hAnsi="Times New Roman" w:cs="Times New Roman"/>
          <w:sz w:val="24"/>
          <w:szCs w:val="24"/>
        </w:rPr>
        <w:t>OH</w:t>
      </w:r>
      <w:proofErr w:type="spellEnd"/>
      <w:r w:rsidRPr="004F4E3A">
        <w:rPr>
          <w:rFonts w:ascii="Times New Roman" w:eastAsia="Times New Roman" w:hAnsi="Times New Roman" w:cs="Times New Roman"/>
          <w:sz w:val="24"/>
          <w:szCs w:val="24"/>
        </w:rPr>
        <w:t xml:space="preserve"> refers to a surface adsorption site. This range of substrates has allowed the influence of the surface adsorption site on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reactivity to be explored in more detail, and has led to the development of a conceptual and thermodynamic model for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reactivity in these systems. This model takes into account the influence of the electrical double layer on the reactivity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and allows the simulation of the suspension </w:t>
      </w:r>
      <w:r w:rsidRPr="004F4E3A">
        <w:rPr>
          <w:rFonts w:ascii="Times New Roman" w:eastAsia="Times New Roman" w:hAnsi="Times New Roman" w:cs="Times New Roman"/>
          <w:i/>
          <w:iCs/>
          <w:sz w:val="24"/>
          <w:szCs w:val="24"/>
        </w:rPr>
        <w:t>E</w:t>
      </w:r>
      <w:r w:rsidRPr="004F4E3A">
        <w:rPr>
          <w:rFonts w:ascii="Times New Roman" w:eastAsia="Times New Roman" w:hAnsi="Times New Roman" w:cs="Times New Roman"/>
          <w:sz w:val="24"/>
          <w:szCs w:val="24"/>
          <w:vertAlign w:val="subscript"/>
        </w:rPr>
        <w:t>H</w:t>
      </w:r>
      <w:r w:rsidRPr="004F4E3A">
        <w:rPr>
          <w:rFonts w:ascii="Times New Roman" w:eastAsia="Times New Roman" w:hAnsi="Times New Roman" w:cs="Times New Roman"/>
          <w:sz w:val="24"/>
          <w:szCs w:val="24"/>
        </w:rPr>
        <w:t xml:space="preserve"> as a function of both the solution pH and surface loading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The adsorption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on the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 xml:space="preserve">)oxides of interest in this work has been reported previously (Zhang et al 1992, Liger et al 1999, </w:t>
      </w:r>
      <w:proofErr w:type="spellStart"/>
      <w:r w:rsidRPr="004F4E3A">
        <w:rPr>
          <w:rFonts w:ascii="Times New Roman" w:eastAsia="Times New Roman" w:hAnsi="Times New Roman" w:cs="Times New Roman"/>
          <w:sz w:val="24"/>
          <w:szCs w:val="24"/>
        </w:rPr>
        <w:t>Appelo</w:t>
      </w:r>
      <w:proofErr w:type="spellEnd"/>
      <w:r w:rsidRPr="004F4E3A">
        <w:rPr>
          <w:rFonts w:ascii="Times New Roman" w:eastAsia="Times New Roman" w:hAnsi="Times New Roman" w:cs="Times New Roman"/>
          <w:sz w:val="24"/>
          <w:szCs w:val="24"/>
        </w:rPr>
        <w:t xml:space="preserve"> et al 2002). The present article can be considered as a companion to that by Liger et al. (1999) and deals with measured redox potentials and </w:t>
      </w:r>
      <w:proofErr w:type="spellStart"/>
      <w:r w:rsidRPr="004F4E3A">
        <w:rPr>
          <w:rFonts w:ascii="Times New Roman" w:eastAsia="Times New Roman" w:hAnsi="Times New Roman" w:cs="Times New Roman"/>
          <w:sz w:val="24"/>
          <w:szCs w:val="24"/>
        </w:rPr>
        <w:t>Mössbauer</w:t>
      </w:r>
      <w:proofErr w:type="spellEnd"/>
      <w:r w:rsidRPr="004F4E3A">
        <w:rPr>
          <w:rFonts w:ascii="Times New Roman" w:eastAsia="Times New Roman" w:hAnsi="Times New Roman" w:cs="Times New Roman"/>
          <w:sz w:val="24"/>
          <w:szCs w:val="24"/>
        </w:rPr>
        <w:t xml:space="preserve"> spectroscopic studies of adsorbed </w:t>
      </w:r>
      <w:r w:rsidRPr="004F4E3A">
        <w:rPr>
          <w:rFonts w:ascii="Times New Roman" w:eastAsia="Times New Roman" w:hAnsi="Times New Roman" w:cs="Times New Roman"/>
          <w:sz w:val="24"/>
          <w:szCs w:val="24"/>
          <w:vertAlign w:val="superscript"/>
        </w:rPr>
        <w:t>57</w:t>
      </w:r>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r w:rsidRPr="004F4E3A">
        <w:rPr>
          <w:rFonts w:ascii="Times New Roman" w:eastAsia="Times New Roman" w:hAnsi="Times New Roman" w:cs="Times New Roman"/>
          <w:sz w:val="24"/>
          <w:szCs w:val="24"/>
        </w:rPr>
        <w:t xml:space="preserve"> in the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)oxide system.</w:t>
      </w:r>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Section snippets</w:t>
      </w:r>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Chemicals</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All chemicals were analytical grade and were used without further purification. Boiled and argon degassed 18 MΩ.cm Milli-Q water was used in the preparation of all solutions. The stock aqueous solutions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were obtained by dissolving appropriate amounts of FeSO</w:t>
      </w:r>
      <w:r w:rsidRPr="004F4E3A">
        <w:rPr>
          <w:rFonts w:ascii="Times New Roman" w:eastAsia="Times New Roman" w:hAnsi="Times New Roman" w:cs="Times New Roman"/>
          <w:sz w:val="24"/>
          <w:szCs w:val="24"/>
          <w:vertAlign w:val="subscript"/>
        </w:rPr>
        <w:t>4</w:t>
      </w:r>
      <w:r w:rsidRPr="004F4E3A">
        <w:rPr>
          <w:rFonts w:ascii="Times New Roman" w:eastAsia="Times New Roman" w:hAnsi="Times New Roman" w:cs="Times New Roman"/>
          <w:sz w:val="24"/>
          <w:szCs w:val="24"/>
        </w:rPr>
        <w:t> · 7H</w:t>
      </w:r>
      <w:r w:rsidRPr="004F4E3A">
        <w:rPr>
          <w:rFonts w:ascii="Times New Roman" w:eastAsia="Times New Roman" w:hAnsi="Times New Roman" w:cs="Times New Roman"/>
          <w:sz w:val="24"/>
          <w:szCs w:val="24"/>
          <w:vertAlign w:val="subscript"/>
        </w:rPr>
        <w:t>2</w:t>
      </w:r>
      <w:r w:rsidRPr="004F4E3A">
        <w:rPr>
          <w:rFonts w:ascii="Times New Roman" w:eastAsia="Times New Roman" w:hAnsi="Times New Roman" w:cs="Times New Roman"/>
          <w:sz w:val="24"/>
          <w:szCs w:val="24"/>
        </w:rPr>
        <w:t>O in water. The acid and base solutions were prepared from HNO</w:t>
      </w:r>
      <w:r w:rsidRPr="004F4E3A">
        <w:rPr>
          <w:rFonts w:ascii="Times New Roman" w:eastAsia="Times New Roman" w:hAnsi="Times New Roman" w:cs="Times New Roman"/>
          <w:sz w:val="24"/>
          <w:szCs w:val="24"/>
          <w:vertAlign w:val="subscript"/>
        </w:rPr>
        <w:t>3</w:t>
      </w:r>
      <w:r w:rsidRPr="004F4E3A">
        <w:rPr>
          <w:rFonts w:ascii="Times New Roman" w:eastAsia="Times New Roman" w:hAnsi="Times New Roman" w:cs="Times New Roman"/>
          <w:sz w:val="24"/>
          <w:szCs w:val="24"/>
        </w:rPr>
        <w:t xml:space="preserve"> and NaOH </w:t>
      </w:r>
      <w:proofErr w:type="spellStart"/>
      <w:r w:rsidRPr="004F4E3A">
        <w:rPr>
          <w:rFonts w:ascii="Times New Roman" w:eastAsia="Times New Roman" w:hAnsi="Times New Roman" w:cs="Times New Roman"/>
          <w:sz w:val="24"/>
          <w:szCs w:val="24"/>
        </w:rPr>
        <w:t>Titrisol</w:t>
      </w:r>
      <w:proofErr w:type="spellEnd"/>
      <w:r w:rsidRPr="004F4E3A">
        <w:rPr>
          <w:rFonts w:ascii="Times New Roman" w:eastAsia="Times New Roman" w:hAnsi="Times New Roman" w:cs="Times New Roman"/>
          <w:sz w:val="24"/>
          <w:szCs w:val="24"/>
        </w:rPr>
        <w:t xml:space="preserve"> (Merck) ampoules.</w:t>
      </w:r>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Goethite (α-</w:t>
      </w:r>
      <w:proofErr w:type="spellStart"/>
      <w:r w:rsidRPr="004F4E3A">
        <w:rPr>
          <w:rFonts w:ascii="Times New Roman" w:eastAsia="Times New Roman" w:hAnsi="Times New Roman" w:cs="Times New Roman"/>
          <w:b/>
          <w:bCs/>
          <w:sz w:val="36"/>
          <w:szCs w:val="36"/>
        </w:rPr>
        <w:t>FeOOH</w:t>
      </w:r>
      <w:proofErr w:type="spellEnd"/>
      <w:r w:rsidRPr="004F4E3A">
        <w:rPr>
          <w:rFonts w:ascii="Times New Roman" w:eastAsia="Times New Roman" w:hAnsi="Times New Roman" w:cs="Times New Roman"/>
          <w:b/>
          <w:bCs/>
          <w:sz w:val="36"/>
          <w:szCs w:val="36"/>
        </w:rPr>
        <w:t>)</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lastRenderedPageBreak/>
        <w:t>Goethite used in this work was a commercially available dry powder (</w:t>
      </w:r>
      <w:proofErr w:type="spellStart"/>
      <w:r w:rsidRPr="004F4E3A">
        <w:rPr>
          <w:rFonts w:ascii="Times New Roman" w:eastAsia="Times New Roman" w:hAnsi="Times New Roman" w:cs="Times New Roman"/>
          <w:sz w:val="24"/>
          <w:szCs w:val="24"/>
        </w:rPr>
        <w:t>Bayferrox</w:t>
      </w:r>
      <w:proofErr w:type="spellEnd"/>
      <w:r w:rsidRPr="004F4E3A">
        <w:rPr>
          <w:rFonts w:ascii="Times New Roman" w:eastAsia="Times New Roman" w:hAnsi="Times New Roman" w:cs="Times New Roman"/>
          <w:sz w:val="24"/>
          <w:szCs w:val="24"/>
        </w:rPr>
        <w:t xml:space="preserve"> pigment PK5104; Bayer, </w:t>
      </w:r>
      <w:proofErr w:type="spellStart"/>
      <w:r w:rsidRPr="004F4E3A">
        <w:rPr>
          <w:rFonts w:ascii="Times New Roman" w:eastAsia="Times New Roman" w:hAnsi="Times New Roman" w:cs="Times New Roman"/>
          <w:sz w:val="24"/>
          <w:szCs w:val="24"/>
        </w:rPr>
        <w:t>Uerdingen</w:t>
      </w:r>
      <w:proofErr w:type="spellEnd"/>
      <w:r w:rsidRPr="004F4E3A">
        <w:rPr>
          <w:rFonts w:ascii="Times New Roman" w:eastAsia="Times New Roman" w:hAnsi="Times New Roman" w:cs="Times New Roman"/>
          <w:sz w:val="24"/>
          <w:szCs w:val="24"/>
        </w:rPr>
        <w:t>). The physical</w:t>
      </w:r>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 xml:space="preserve">Surface Sites and Surface Charging of </w:t>
      </w:r>
      <w:proofErr w:type="spellStart"/>
      <w:r w:rsidRPr="004F4E3A">
        <w:rPr>
          <w:rFonts w:ascii="Times New Roman" w:eastAsia="Times New Roman" w:hAnsi="Times New Roman" w:cs="Times New Roman"/>
          <w:b/>
          <w:bCs/>
          <w:sz w:val="36"/>
          <w:szCs w:val="36"/>
        </w:rPr>
        <w:t>Fe</w:t>
      </w:r>
      <w:r w:rsidRPr="004F4E3A">
        <w:rPr>
          <w:rFonts w:ascii="Times New Roman" w:eastAsia="Times New Roman" w:hAnsi="Times New Roman" w:cs="Times New Roman"/>
          <w:b/>
          <w:bCs/>
          <w:sz w:val="36"/>
          <w:szCs w:val="36"/>
          <w:vertAlign w:val="superscript"/>
        </w:rPr>
        <w:t>III</w:t>
      </w:r>
      <w:proofErr w:type="spellEnd"/>
      <w:r w:rsidRPr="004F4E3A">
        <w:rPr>
          <w:rFonts w:ascii="Times New Roman" w:eastAsia="Times New Roman" w:hAnsi="Times New Roman" w:cs="Times New Roman"/>
          <w:b/>
          <w:bCs/>
          <w:sz w:val="36"/>
          <w:szCs w:val="36"/>
        </w:rPr>
        <w:t xml:space="preserve"> (</w:t>
      </w:r>
      <w:proofErr w:type="spellStart"/>
      <w:r w:rsidRPr="004F4E3A">
        <w:rPr>
          <w:rFonts w:ascii="Times New Roman" w:eastAsia="Times New Roman" w:hAnsi="Times New Roman" w:cs="Times New Roman"/>
          <w:b/>
          <w:bCs/>
          <w:sz w:val="36"/>
          <w:szCs w:val="36"/>
        </w:rPr>
        <w:t>Oxyhydr</w:t>
      </w:r>
      <w:proofErr w:type="spellEnd"/>
      <w:r w:rsidRPr="004F4E3A">
        <w:rPr>
          <w:rFonts w:ascii="Times New Roman" w:eastAsia="Times New Roman" w:hAnsi="Times New Roman" w:cs="Times New Roman"/>
          <w:b/>
          <w:bCs/>
          <w:sz w:val="36"/>
          <w:szCs w:val="36"/>
        </w:rPr>
        <w:t>)oxides</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As discussed in the Experimental Section, we have endeavored to use the same surface-site concentration in all of the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 xml:space="preserve">)oxide systems studied. For the calculation of site </w:t>
      </w:r>
      <w:proofErr w:type="gramStart"/>
      <w:r w:rsidRPr="004F4E3A">
        <w:rPr>
          <w:rFonts w:ascii="Times New Roman" w:eastAsia="Times New Roman" w:hAnsi="Times New Roman" w:cs="Times New Roman"/>
          <w:sz w:val="24"/>
          <w:szCs w:val="24"/>
        </w:rPr>
        <w:t>concentrations</w:t>
      </w:r>
      <w:proofErr w:type="gramEnd"/>
      <w:r w:rsidRPr="004F4E3A">
        <w:rPr>
          <w:rFonts w:ascii="Times New Roman" w:eastAsia="Times New Roman" w:hAnsi="Times New Roman" w:cs="Times New Roman"/>
          <w:sz w:val="24"/>
          <w:szCs w:val="24"/>
        </w:rPr>
        <w:t xml:space="preserve"> we have used previously established relationships between the surface-site concentration and the solids concentration for these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)oxides (reported as specific surface and site density parameters), extracted from potentiometric acid-base titration data. By way of justification of this</w:t>
      </w:r>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Thermodynamic model</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The calculation for the suspension </w:t>
      </w:r>
      <w:r w:rsidRPr="004F4E3A">
        <w:rPr>
          <w:rFonts w:ascii="Times New Roman" w:eastAsia="Times New Roman" w:hAnsi="Times New Roman" w:cs="Times New Roman"/>
          <w:i/>
          <w:iCs/>
          <w:sz w:val="24"/>
          <w:szCs w:val="24"/>
        </w:rPr>
        <w:t>E</w:t>
      </w:r>
      <w:r w:rsidRPr="004F4E3A">
        <w:rPr>
          <w:rFonts w:ascii="Times New Roman" w:eastAsia="Times New Roman" w:hAnsi="Times New Roman" w:cs="Times New Roman"/>
          <w:sz w:val="24"/>
          <w:szCs w:val="24"/>
          <w:vertAlign w:val="subscript"/>
        </w:rPr>
        <w:t>H</w:t>
      </w:r>
      <w:r w:rsidRPr="004F4E3A">
        <w:rPr>
          <w:rFonts w:ascii="Times New Roman" w:eastAsia="Times New Roman" w:hAnsi="Times New Roman" w:cs="Times New Roman"/>
          <w:sz w:val="24"/>
          <w:szCs w:val="24"/>
        </w:rPr>
        <w:t xml:space="preserve"> in the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 xml:space="preserve">)oxide systems assumes that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is in electrochemical equilibrium with the host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 xml:space="preserve">)oxide. Implicit in this assumption is that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adsorption occurs on crystal growth sites of the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 xml:space="preserve">)oxide, and that oxidation of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to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results in the incorporation of the newly formed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cation into the structure of the substrate. The thermodynamic model also assumes that the incorporated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Conclusions</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The surface complexation approach for modelling adsorption onto mineral surfaces has been used to calculate the redox potential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adsorbed onto a range of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t>
      </w:r>
      <w:proofErr w:type="spellStart"/>
      <w:r w:rsidRPr="004F4E3A">
        <w:rPr>
          <w:rFonts w:ascii="Times New Roman" w:eastAsia="Times New Roman" w:hAnsi="Times New Roman" w:cs="Times New Roman"/>
          <w:sz w:val="24"/>
          <w:szCs w:val="24"/>
        </w:rPr>
        <w:t>oxyhydr</w:t>
      </w:r>
      <w:proofErr w:type="spellEnd"/>
      <w:r w:rsidRPr="004F4E3A">
        <w:rPr>
          <w:rFonts w:ascii="Times New Roman" w:eastAsia="Times New Roman" w:hAnsi="Times New Roman" w:cs="Times New Roman"/>
          <w:sz w:val="24"/>
          <w:szCs w:val="24"/>
        </w:rPr>
        <w:t xml:space="preserve">)oxides. In this model it is assumed that adsorbed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w:t>
      </w:r>
      <w:proofErr w:type="spellEnd"/>
      <w:r w:rsidRPr="004F4E3A">
        <w:rPr>
          <w:rFonts w:ascii="Times New Roman" w:eastAsia="Times New Roman" w:hAnsi="Times New Roman" w:cs="Times New Roman"/>
          <w:sz w:val="24"/>
          <w:szCs w:val="24"/>
        </w:rPr>
        <w:t xml:space="preserve"> is incorporated into the bulk structure of the substrate upon oxidation to </w:t>
      </w:r>
      <w:proofErr w:type="spellStart"/>
      <w:r w:rsidRPr="004F4E3A">
        <w:rPr>
          <w:rFonts w:ascii="Times New Roman" w:eastAsia="Times New Roman" w:hAnsi="Times New Roman" w:cs="Times New Roman"/>
          <w:sz w:val="24"/>
          <w:szCs w:val="24"/>
        </w:rPr>
        <w:t>Fe</w:t>
      </w:r>
      <w:r w:rsidRPr="004F4E3A">
        <w:rPr>
          <w:rFonts w:ascii="Times New Roman" w:eastAsia="Times New Roman" w:hAnsi="Times New Roman" w:cs="Times New Roman"/>
          <w:sz w:val="24"/>
          <w:szCs w:val="24"/>
          <w:vertAlign w:val="superscript"/>
        </w:rPr>
        <w:t>III</w:t>
      </w:r>
      <w:proofErr w:type="spellEnd"/>
      <w:r w:rsidRPr="004F4E3A">
        <w:rPr>
          <w:rFonts w:ascii="Times New Roman" w:eastAsia="Times New Roman" w:hAnsi="Times New Roman" w:cs="Times New Roman"/>
          <w:sz w:val="24"/>
          <w:szCs w:val="24"/>
        </w:rPr>
        <w:t xml:space="preserve">, with the formation of a new surface site. Rest potential measurements at a platinum electrode show that this approach provides a good description of the suspension </w:t>
      </w:r>
      <w:r w:rsidRPr="004F4E3A">
        <w:rPr>
          <w:rFonts w:ascii="Times New Roman" w:eastAsia="Times New Roman" w:hAnsi="Times New Roman" w:cs="Times New Roman"/>
          <w:i/>
          <w:iCs/>
          <w:sz w:val="24"/>
          <w:szCs w:val="24"/>
        </w:rPr>
        <w:t>E</w:t>
      </w:r>
      <w:r w:rsidRPr="004F4E3A">
        <w:rPr>
          <w:rFonts w:ascii="Times New Roman" w:eastAsia="Times New Roman" w:hAnsi="Times New Roman" w:cs="Times New Roman"/>
          <w:sz w:val="24"/>
          <w:szCs w:val="24"/>
          <w:vertAlign w:val="subscript"/>
        </w:rPr>
        <w:t>H</w:t>
      </w:r>
      <w:r w:rsidRPr="004F4E3A">
        <w:rPr>
          <w:rFonts w:ascii="Times New Roman" w:eastAsia="Times New Roman" w:hAnsi="Times New Roman" w:cs="Times New Roman"/>
          <w:sz w:val="24"/>
          <w:szCs w:val="24"/>
        </w:rPr>
        <w:t xml:space="preserve"> for nano-FOH and</w:t>
      </w:r>
    </w:p>
    <w:p w:rsidR="004F4E3A" w:rsidRPr="004F4E3A" w:rsidRDefault="004F4E3A" w:rsidP="004F4E3A">
      <w:pPr>
        <w:spacing w:before="100" w:beforeAutospacing="1" w:after="100" w:afterAutospacing="1" w:line="240" w:lineRule="auto"/>
        <w:outlineLvl w:val="1"/>
        <w:rPr>
          <w:rFonts w:ascii="Times New Roman" w:eastAsia="Times New Roman" w:hAnsi="Times New Roman" w:cs="Times New Roman"/>
          <w:b/>
          <w:bCs/>
          <w:sz w:val="36"/>
          <w:szCs w:val="36"/>
        </w:rPr>
      </w:pPr>
      <w:r w:rsidRPr="004F4E3A">
        <w:rPr>
          <w:rFonts w:ascii="Times New Roman" w:eastAsia="Times New Roman" w:hAnsi="Times New Roman" w:cs="Times New Roman"/>
          <w:b/>
          <w:bCs/>
          <w:sz w:val="36"/>
          <w:szCs w:val="36"/>
        </w:rPr>
        <w:t>Acknowledgments</w:t>
      </w:r>
    </w:p>
    <w:p w:rsidR="004F4E3A" w:rsidRPr="004F4E3A" w:rsidRDefault="004F4E3A" w:rsidP="004F4E3A">
      <w:pPr>
        <w:spacing w:before="100" w:beforeAutospacing="1" w:after="100" w:afterAutospacing="1" w:line="240" w:lineRule="auto"/>
        <w:rPr>
          <w:rFonts w:ascii="Times New Roman" w:eastAsia="Times New Roman" w:hAnsi="Times New Roman" w:cs="Times New Roman"/>
          <w:sz w:val="24"/>
          <w:szCs w:val="24"/>
        </w:rPr>
      </w:pPr>
      <w:r w:rsidRPr="004F4E3A">
        <w:rPr>
          <w:rFonts w:ascii="Times New Roman" w:eastAsia="Times New Roman" w:hAnsi="Times New Roman" w:cs="Times New Roman"/>
          <w:sz w:val="24"/>
          <w:szCs w:val="24"/>
        </w:rPr>
        <w:t xml:space="preserve">The authors would like to thank Ian Madsen (CSIRO Minerals, Australia) for recording XRD patterns for the nano-FOH material. Thanks also to Lorenzo </w:t>
      </w:r>
      <w:proofErr w:type="spellStart"/>
      <w:r w:rsidRPr="004F4E3A">
        <w:rPr>
          <w:rFonts w:ascii="Times New Roman" w:eastAsia="Times New Roman" w:hAnsi="Times New Roman" w:cs="Times New Roman"/>
          <w:sz w:val="24"/>
          <w:szCs w:val="24"/>
        </w:rPr>
        <w:t>Spadini</w:t>
      </w:r>
      <w:proofErr w:type="spellEnd"/>
      <w:r w:rsidRPr="004F4E3A">
        <w:rPr>
          <w:rFonts w:ascii="Times New Roman" w:eastAsia="Times New Roman" w:hAnsi="Times New Roman" w:cs="Times New Roman"/>
          <w:sz w:val="24"/>
          <w:szCs w:val="24"/>
        </w:rPr>
        <w:t xml:space="preserve"> for advising on the synthesis and handling of the HFO and goethite materials used in this work. The comments of Roy </w:t>
      </w:r>
      <w:proofErr w:type="spellStart"/>
      <w:r w:rsidRPr="004F4E3A">
        <w:rPr>
          <w:rFonts w:ascii="Times New Roman" w:eastAsia="Times New Roman" w:hAnsi="Times New Roman" w:cs="Times New Roman"/>
          <w:sz w:val="24"/>
          <w:szCs w:val="24"/>
        </w:rPr>
        <w:t>Wogelius</w:t>
      </w:r>
      <w:proofErr w:type="spellEnd"/>
      <w:r w:rsidRPr="004F4E3A">
        <w:rPr>
          <w:rFonts w:ascii="Times New Roman" w:eastAsia="Times New Roman" w:hAnsi="Times New Roman" w:cs="Times New Roman"/>
          <w:sz w:val="24"/>
          <w:szCs w:val="24"/>
        </w:rPr>
        <w:t xml:space="preserve"> (AE) and three anonymous reviewers have greatly assisted us in improving this manuscript.</w:t>
      </w:r>
    </w:p>
    <w:p w:rsidR="00DA0103" w:rsidRDefault="00DA0103"/>
    <w:sectPr w:rsidR="00DA0103">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E3A"/>
    <w:rsid w:val="004F4E3A"/>
    <w:rsid w:val="00DA01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9EF07"/>
  <w15:chartTrackingRefBased/>
  <w15:docId w15:val="{64367680-C090-4C5B-927B-61657D381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6134347">
      <w:bodyDiv w:val="1"/>
      <w:marLeft w:val="0"/>
      <w:marRight w:val="0"/>
      <w:marTop w:val="0"/>
      <w:marBottom w:val="0"/>
      <w:divBdr>
        <w:top w:val="none" w:sz="0" w:space="0" w:color="auto"/>
        <w:left w:val="none" w:sz="0" w:space="0" w:color="auto"/>
        <w:bottom w:val="none" w:sz="0" w:space="0" w:color="auto"/>
        <w:right w:val="none" w:sz="0" w:space="0" w:color="auto"/>
      </w:divBdr>
      <w:divsChild>
        <w:div w:id="819689615">
          <w:marLeft w:val="0"/>
          <w:marRight w:val="0"/>
          <w:marTop w:val="0"/>
          <w:marBottom w:val="0"/>
          <w:divBdr>
            <w:top w:val="none" w:sz="0" w:space="0" w:color="auto"/>
            <w:left w:val="none" w:sz="0" w:space="0" w:color="auto"/>
            <w:bottom w:val="none" w:sz="0" w:space="0" w:color="auto"/>
            <w:right w:val="none" w:sz="0" w:space="0" w:color="auto"/>
          </w:divBdr>
          <w:divsChild>
            <w:div w:id="1309285686">
              <w:marLeft w:val="0"/>
              <w:marRight w:val="0"/>
              <w:marTop w:val="0"/>
              <w:marBottom w:val="0"/>
              <w:divBdr>
                <w:top w:val="none" w:sz="0" w:space="0" w:color="auto"/>
                <w:left w:val="none" w:sz="0" w:space="0" w:color="auto"/>
                <w:bottom w:val="none" w:sz="0" w:space="0" w:color="auto"/>
                <w:right w:val="none" w:sz="0" w:space="0" w:color="auto"/>
              </w:divBdr>
              <w:divsChild>
                <w:div w:id="1212770337">
                  <w:marLeft w:val="0"/>
                  <w:marRight w:val="0"/>
                  <w:marTop w:val="0"/>
                  <w:marBottom w:val="0"/>
                  <w:divBdr>
                    <w:top w:val="none" w:sz="0" w:space="0" w:color="auto"/>
                    <w:left w:val="none" w:sz="0" w:space="0" w:color="auto"/>
                    <w:bottom w:val="none" w:sz="0" w:space="0" w:color="auto"/>
                    <w:right w:val="none" w:sz="0" w:space="0" w:color="auto"/>
                  </w:divBdr>
                  <w:divsChild>
                    <w:div w:id="1483960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384293">
          <w:marLeft w:val="0"/>
          <w:marRight w:val="0"/>
          <w:marTop w:val="0"/>
          <w:marBottom w:val="0"/>
          <w:divBdr>
            <w:top w:val="none" w:sz="0" w:space="0" w:color="auto"/>
            <w:left w:val="none" w:sz="0" w:space="0" w:color="auto"/>
            <w:bottom w:val="none" w:sz="0" w:space="0" w:color="auto"/>
            <w:right w:val="none" w:sz="0" w:space="0" w:color="auto"/>
          </w:divBdr>
          <w:divsChild>
            <w:div w:id="1161969431">
              <w:marLeft w:val="0"/>
              <w:marRight w:val="0"/>
              <w:marTop w:val="0"/>
              <w:marBottom w:val="0"/>
              <w:divBdr>
                <w:top w:val="none" w:sz="0" w:space="0" w:color="auto"/>
                <w:left w:val="none" w:sz="0" w:space="0" w:color="auto"/>
                <w:bottom w:val="none" w:sz="0" w:space="0" w:color="auto"/>
                <w:right w:val="none" w:sz="0" w:space="0" w:color="auto"/>
              </w:divBdr>
              <w:divsChild>
                <w:div w:id="1872036365">
                  <w:marLeft w:val="0"/>
                  <w:marRight w:val="0"/>
                  <w:marTop w:val="0"/>
                  <w:marBottom w:val="0"/>
                  <w:divBdr>
                    <w:top w:val="none" w:sz="0" w:space="0" w:color="auto"/>
                    <w:left w:val="none" w:sz="0" w:space="0" w:color="auto"/>
                    <w:bottom w:val="none" w:sz="0" w:space="0" w:color="auto"/>
                    <w:right w:val="none" w:sz="0" w:space="0" w:color="auto"/>
                  </w:divBdr>
                  <w:divsChild>
                    <w:div w:id="1059088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649510">
          <w:marLeft w:val="0"/>
          <w:marRight w:val="0"/>
          <w:marTop w:val="0"/>
          <w:marBottom w:val="0"/>
          <w:divBdr>
            <w:top w:val="none" w:sz="0" w:space="0" w:color="auto"/>
            <w:left w:val="none" w:sz="0" w:space="0" w:color="auto"/>
            <w:bottom w:val="none" w:sz="0" w:space="0" w:color="auto"/>
            <w:right w:val="none" w:sz="0" w:space="0" w:color="auto"/>
          </w:divBdr>
          <w:divsChild>
            <w:div w:id="960696386">
              <w:marLeft w:val="0"/>
              <w:marRight w:val="0"/>
              <w:marTop w:val="0"/>
              <w:marBottom w:val="0"/>
              <w:divBdr>
                <w:top w:val="none" w:sz="0" w:space="0" w:color="auto"/>
                <w:left w:val="none" w:sz="0" w:space="0" w:color="auto"/>
                <w:bottom w:val="none" w:sz="0" w:space="0" w:color="auto"/>
                <w:right w:val="none" w:sz="0" w:space="0" w:color="auto"/>
              </w:divBdr>
            </w:div>
          </w:divsChild>
        </w:div>
        <w:div w:id="805974682">
          <w:marLeft w:val="0"/>
          <w:marRight w:val="0"/>
          <w:marTop w:val="0"/>
          <w:marBottom w:val="0"/>
          <w:divBdr>
            <w:top w:val="none" w:sz="0" w:space="0" w:color="auto"/>
            <w:left w:val="none" w:sz="0" w:space="0" w:color="auto"/>
            <w:bottom w:val="none" w:sz="0" w:space="0" w:color="auto"/>
            <w:right w:val="none" w:sz="0" w:space="0" w:color="auto"/>
          </w:divBdr>
          <w:divsChild>
            <w:div w:id="21897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spectroscopic-analysis"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goeth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redox-potential"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lepidocrocite" TargetMode="External"/><Relationship Id="rId10" Type="http://schemas.openxmlformats.org/officeDocument/2006/relationships/fontTable" Target="fontTable.xml"/><Relationship Id="rId4" Type="http://schemas.openxmlformats.org/officeDocument/2006/relationships/hyperlink" Target="https://doi.org/10.1016/j.gca.2005.06.013" TargetMode="External"/><Relationship Id="rId9" Type="http://schemas.openxmlformats.org/officeDocument/2006/relationships/hyperlink" Target="https://www.sciencedirect.com/topics/earth-and-planetary-sciences/electron-transf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1474</Words>
  <Characters>8407</Characters>
  <Application>Microsoft Office Word</Application>
  <DocSecurity>0</DocSecurity>
  <Lines>70</Lines>
  <Paragraphs>19</Paragraphs>
  <ScaleCrop>false</ScaleCrop>
  <Company/>
  <LinksUpToDate>false</LinksUpToDate>
  <CharactersWithSpaces>9862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2023-11-11T08:00:00Z</dcterms:created>
  <dcterms:modified xsi:type="dcterms:W3CDTF">2023-11-11T08:01:00Z</dcterms:modified>
</cp:coreProperties>
</file>