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B6884" w:rsidRPr="007B6884" w:rsidRDefault="007B6884" w:rsidP="007B688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B6884">
        <w:rPr>
          <w:rFonts w:ascii="Times New Roman" w:eastAsia="Times New Roman" w:hAnsi="Times New Roman" w:cs="Times New Roman"/>
          <w:b/>
          <w:bCs/>
          <w:kern w:val="36"/>
          <w:sz w:val="48"/>
          <w:szCs w:val="48"/>
        </w:rPr>
        <w:t>Nucleosynthetic zirconium isotope anomalies in acid leachates of carbonaceous chondrites</w:t>
      </w:r>
    </w:p>
    <w:p w:rsidR="007B6884" w:rsidRPr="007B6884" w:rsidRDefault="007B6884" w:rsidP="007B6884">
      <w:pPr>
        <w:spacing w:after="0"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Author links open overlay panel</w:t>
      </w:r>
    </w:p>
    <w:p w:rsidR="007B6884" w:rsidRPr="007B6884" w:rsidRDefault="007B6884" w:rsidP="007B6884">
      <w:pPr>
        <w:spacing w:after="0"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 , , , , </w:t>
      </w:r>
    </w:p>
    <w:p w:rsidR="007B6884" w:rsidRPr="007B6884" w:rsidRDefault="007B6884" w:rsidP="007B688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B6884">
          <w:rPr>
            <w:rFonts w:ascii="Times New Roman" w:eastAsia="Times New Roman" w:hAnsi="Times New Roman" w:cs="Times New Roman"/>
            <w:color w:val="0000FF"/>
            <w:sz w:val="24"/>
            <w:szCs w:val="24"/>
            <w:u w:val="single"/>
          </w:rPr>
          <w:t>https://doi.org/10.1016/j.gca.2005.04.019</w:t>
        </w:r>
      </w:hyperlink>
      <w:bookmarkStart w:id="0" w:name="_GoBack"/>
      <w:bookmarkEnd w:id="0"/>
      <w:r w:rsidRPr="007B6884">
        <w:rPr>
          <w:rFonts w:ascii="Times New Roman" w:eastAsia="Times New Roman" w:hAnsi="Times New Roman" w:cs="Times New Roman"/>
          <w:sz w:val="24"/>
          <w:szCs w:val="24"/>
        </w:rPr>
        <w:t xml:space="preserve"> </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Abstract</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Stepwise dissolutions of the </w:t>
      </w:r>
      <w:hyperlink r:id="rId5" w:tooltip="Learn more about carbonaceous chondrites from ScienceDirect's AI-generated Topic Pages" w:history="1">
        <w:r w:rsidRPr="007B6884">
          <w:rPr>
            <w:rFonts w:ascii="Times New Roman" w:eastAsia="Times New Roman" w:hAnsi="Times New Roman" w:cs="Times New Roman"/>
            <w:color w:val="0000FF"/>
            <w:sz w:val="24"/>
            <w:szCs w:val="24"/>
            <w:u w:val="single"/>
          </w:rPr>
          <w:t>carbonaceous chondrites</w:t>
        </w:r>
      </w:hyperlink>
      <w:r w:rsidRPr="007B6884">
        <w:rPr>
          <w:rFonts w:ascii="Times New Roman" w:eastAsia="Times New Roman" w:hAnsi="Times New Roman" w:cs="Times New Roman"/>
          <w:sz w:val="24"/>
          <w:szCs w:val="24"/>
        </w:rPr>
        <w:t xml:space="preserve">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(CI), Murchison (CM) and Allende (CV) reveal large nucleosynthetic anomalies for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isotopes that contrast with the uniform compositions found in bulk meteorites. Two complementary nucleosynthetic components are observed: one enriched and one depleted in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nuclides. The latter component, characterized by excess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is most distinctive in the acetic acid leachate (up to ε</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 50). The excess decreases with increasing acid strength and the final leaching steps of the experiment are depleted in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and thus enriched in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nuclides.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silicon carbide grains are likely host phases for part of the anomalous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released during these later stages. However, by mass balance they cannot account for the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excesses observed in the early leaching steps and this therefore hints at the presence of at least one additional carrier phase with significant amounts of anomalous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The data provide evidence that average solar system material consists of a homogenized mixture of different nucleosynthetic components, which can be partly resolved by leaching experiments of carbonaceous chondrites.</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Introduction</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A variety of isotopically anomalous components have been reported for carbonaceous chondrites. These have been identified by analyses of refractory inclusions (e.g., Clayton et al 1973, </w:t>
      </w:r>
      <w:proofErr w:type="spellStart"/>
      <w:r w:rsidRPr="007B6884">
        <w:rPr>
          <w:rFonts w:ascii="Times New Roman" w:eastAsia="Times New Roman" w:hAnsi="Times New Roman" w:cs="Times New Roman"/>
          <w:sz w:val="24"/>
          <w:szCs w:val="24"/>
        </w:rPr>
        <w:t>Lugmair</w:t>
      </w:r>
      <w:proofErr w:type="spellEnd"/>
      <w:r w:rsidRPr="007B6884">
        <w:rPr>
          <w:rFonts w:ascii="Times New Roman" w:eastAsia="Times New Roman" w:hAnsi="Times New Roman" w:cs="Times New Roman"/>
          <w:sz w:val="24"/>
          <w:szCs w:val="24"/>
        </w:rPr>
        <w:t xml:space="preserve"> et al 1978, McCulloch and </w:t>
      </w:r>
      <w:proofErr w:type="spellStart"/>
      <w:r w:rsidRPr="007B6884">
        <w:rPr>
          <w:rFonts w:ascii="Times New Roman" w:eastAsia="Times New Roman" w:hAnsi="Times New Roman" w:cs="Times New Roman"/>
          <w:sz w:val="24"/>
          <w:szCs w:val="24"/>
        </w:rPr>
        <w:t>Wasserburg</w:t>
      </w:r>
      <w:proofErr w:type="spellEnd"/>
      <w:r w:rsidRPr="007B6884">
        <w:rPr>
          <w:rFonts w:ascii="Times New Roman" w:eastAsia="Times New Roman" w:hAnsi="Times New Roman" w:cs="Times New Roman"/>
          <w:sz w:val="24"/>
          <w:szCs w:val="24"/>
        </w:rPr>
        <w:t xml:space="preserve"> 1978),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dust grains (Lewis et al 1987, Anders and </w:t>
      </w:r>
      <w:proofErr w:type="spellStart"/>
      <w:r w:rsidRPr="007B6884">
        <w:rPr>
          <w:rFonts w:ascii="Times New Roman" w:eastAsia="Times New Roman" w:hAnsi="Times New Roman" w:cs="Times New Roman"/>
          <w:sz w:val="24"/>
          <w:szCs w:val="24"/>
        </w:rPr>
        <w:t>Zinner</w:t>
      </w:r>
      <w:proofErr w:type="spellEnd"/>
      <w:r w:rsidRPr="007B6884">
        <w:rPr>
          <w:rFonts w:ascii="Times New Roman" w:eastAsia="Times New Roman" w:hAnsi="Times New Roman" w:cs="Times New Roman"/>
          <w:sz w:val="24"/>
          <w:szCs w:val="24"/>
        </w:rPr>
        <w:t xml:space="preserve"> 1993, Ott 2001, Clayton and </w:t>
      </w:r>
      <w:proofErr w:type="spellStart"/>
      <w:r w:rsidRPr="007B6884">
        <w:rPr>
          <w:rFonts w:ascii="Times New Roman" w:eastAsia="Times New Roman" w:hAnsi="Times New Roman" w:cs="Times New Roman"/>
          <w:sz w:val="24"/>
          <w:szCs w:val="24"/>
        </w:rPr>
        <w:t>Nittler</w:t>
      </w:r>
      <w:proofErr w:type="spellEnd"/>
      <w:r w:rsidRPr="007B6884">
        <w:rPr>
          <w:rFonts w:ascii="Times New Roman" w:eastAsia="Times New Roman" w:hAnsi="Times New Roman" w:cs="Times New Roman"/>
          <w:sz w:val="24"/>
          <w:szCs w:val="24"/>
        </w:rPr>
        <w:t xml:space="preserve"> 2004) and acid leachates that display nucleosynthetic anomalies for Cr, K, Mo, Ba and possibly W isotopes (</w:t>
      </w:r>
      <w:proofErr w:type="spellStart"/>
      <w:r w:rsidRPr="007B6884">
        <w:rPr>
          <w:rFonts w:ascii="Times New Roman" w:eastAsia="Times New Roman" w:hAnsi="Times New Roman" w:cs="Times New Roman"/>
          <w:sz w:val="24"/>
          <w:szCs w:val="24"/>
        </w:rPr>
        <w:t>Rotaru</w:t>
      </w:r>
      <w:proofErr w:type="spellEnd"/>
      <w:r w:rsidRPr="007B6884">
        <w:rPr>
          <w:rFonts w:ascii="Times New Roman" w:eastAsia="Times New Roman" w:hAnsi="Times New Roman" w:cs="Times New Roman"/>
          <w:sz w:val="24"/>
          <w:szCs w:val="24"/>
        </w:rPr>
        <w:t xml:space="preserve"> et al 1992, </w:t>
      </w:r>
      <w:proofErr w:type="spellStart"/>
      <w:r w:rsidRPr="007B6884">
        <w:rPr>
          <w:rFonts w:ascii="Times New Roman" w:eastAsia="Times New Roman" w:hAnsi="Times New Roman" w:cs="Times New Roman"/>
          <w:sz w:val="24"/>
          <w:szCs w:val="24"/>
        </w:rPr>
        <w:t>Podosek</w:t>
      </w:r>
      <w:proofErr w:type="spellEnd"/>
      <w:r w:rsidRPr="007B6884">
        <w:rPr>
          <w:rFonts w:ascii="Times New Roman" w:eastAsia="Times New Roman" w:hAnsi="Times New Roman" w:cs="Times New Roman"/>
          <w:sz w:val="24"/>
          <w:szCs w:val="24"/>
        </w:rPr>
        <w:t xml:space="preserve"> et al 1997, </w:t>
      </w:r>
      <w:proofErr w:type="spellStart"/>
      <w:r w:rsidRPr="007B6884">
        <w:rPr>
          <w:rFonts w:ascii="Times New Roman" w:eastAsia="Times New Roman" w:hAnsi="Times New Roman" w:cs="Times New Roman"/>
          <w:sz w:val="24"/>
          <w:szCs w:val="24"/>
        </w:rPr>
        <w:t>Podosek</w:t>
      </w:r>
      <w:proofErr w:type="spellEnd"/>
      <w:r w:rsidRPr="007B6884">
        <w:rPr>
          <w:rFonts w:ascii="Times New Roman" w:eastAsia="Times New Roman" w:hAnsi="Times New Roman" w:cs="Times New Roman"/>
          <w:sz w:val="24"/>
          <w:szCs w:val="24"/>
        </w:rPr>
        <w:t xml:space="preserve"> et al 1999, </w:t>
      </w:r>
      <w:proofErr w:type="spellStart"/>
      <w:r w:rsidRPr="007B6884">
        <w:rPr>
          <w:rFonts w:ascii="Times New Roman" w:eastAsia="Times New Roman" w:hAnsi="Times New Roman" w:cs="Times New Roman"/>
          <w:sz w:val="24"/>
          <w:szCs w:val="24"/>
        </w:rPr>
        <w:t>Dauphas</w:t>
      </w:r>
      <w:proofErr w:type="spellEnd"/>
      <w:r w:rsidRPr="007B6884">
        <w:rPr>
          <w:rFonts w:ascii="Times New Roman" w:eastAsia="Times New Roman" w:hAnsi="Times New Roman" w:cs="Times New Roman"/>
          <w:sz w:val="24"/>
          <w:szCs w:val="24"/>
        </w:rPr>
        <w:t xml:space="preserve"> et al 2002, </w:t>
      </w:r>
      <w:proofErr w:type="spellStart"/>
      <w:r w:rsidRPr="007B6884">
        <w:rPr>
          <w:rFonts w:ascii="Times New Roman" w:eastAsia="Times New Roman" w:hAnsi="Times New Roman" w:cs="Times New Roman"/>
          <w:sz w:val="24"/>
          <w:szCs w:val="24"/>
        </w:rPr>
        <w:t>Dauphas</w:t>
      </w:r>
      <w:proofErr w:type="spellEnd"/>
      <w:r w:rsidRPr="007B6884">
        <w:rPr>
          <w:rFonts w:ascii="Times New Roman" w:eastAsia="Times New Roman" w:hAnsi="Times New Roman" w:cs="Times New Roman"/>
          <w:sz w:val="24"/>
          <w:szCs w:val="24"/>
        </w:rPr>
        <w:t xml:space="preserve"> et al 2004a, Hidaka et al 2003).</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grains are primitive dust particles characterized by isotopic compositions that are very different from average solar system values (e.g., Clayton and </w:t>
      </w:r>
      <w:proofErr w:type="spellStart"/>
      <w:r w:rsidRPr="007B6884">
        <w:rPr>
          <w:rFonts w:ascii="Times New Roman" w:eastAsia="Times New Roman" w:hAnsi="Times New Roman" w:cs="Times New Roman"/>
          <w:sz w:val="24"/>
          <w:szCs w:val="24"/>
        </w:rPr>
        <w:t>Nittler</w:t>
      </w:r>
      <w:proofErr w:type="spellEnd"/>
      <w:r w:rsidRPr="007B6884">
        <w:rPr>
          <w:rFonts w:ascii="Times New Roman" w:eastAsia="Times New Roman" w:hAnsi="Times New Roman" w:cs="Times New Roman"/>
          <w:sz w:val="24"/>
          <w:szCs w:val="24"/>
        </w:rPr>
        <w:t xml:space="preserve">, 2004). It is generally believed that these grains condensed in stellar outflows and survived the formation of the solar system, such that they preserved their original elemental and isotopic compositions. In contrast, refractory inclusions probably formed very early within the solar system from material that was originally produced by many different nucleosynthetic processes. The isotopic anomalies of refractory inclusions are modest compared with those of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grains and their origin is generally not as well understood (e.g., Lee, 1988). Some anomalies may have developed within the solar system (Shu et al 1997, Lee et al 1998, Clayton, 2002), while others may reflect different proportions of distinct nucleosynthetic components (e.g., </w:t>
      </w:r>
      <w:proofErr w:type="spellStart"/>
      <w:r w:rsidRPr="007B6884">
        <w:rPr>
          <w:rFonts w:ascii="Times New Roman" w:eastAsia="Times New Roman" w:hAnsi="Times New Roman" w:cs="Times New Roman"/>
          <w:sz w:val="24"/>
          <w:szCs w:val="24"/>
        </w:rPr>
        <w:t>Lugmair</w:t>
      </w:r>
      <w:proofErr w:type="spellEnd"/>
      <w:r w:rsidRPr="007B6884">
        <w:rPr>
          <w:rFonts w:ascii="Times New Roman" w:eastAsia="Times New Roman" w:hAnsi="Times New Roman" w:cs="Times New Roman"/>
          <w:sz w:val="24"/>
          <w:szCs w:val="24"/>
        </w:rPr>
        <w:t xml:space="preserve"> et al 1978, McCulloch and </w:t>
      </w:r>
      <w:proofErr w:type="spellStart"/>
      <w:r w:rsidRPr="007B6884">
        <w:rPr>
          <w:rFonts w:ascii="Times New Roman" w:eastAsia="Times New Roman" w:hAnsi="Times New Roman" w:cs="Times New Roman"/>
          <w:sz w:val="24"/>
          <w:szCs w:val="24"/>
        </w:rPr>
        <w:t>Wasserburg</w:t>
      </w:r>
      <w:proofErr w:type="spellEnd"/>
      <w:r w:rsidRPr="007B6884">
        <w:rPr>
          <w:rFonts w:ascii="Times New Roman" w:eastAsia="Times New Roman" w:hAnsi="Times New Roman" w:cs="Times New Roman"/>
          <w:sz w:val="24"/>
          <w:szCs w:val="24"/>
        </w:rPr>
        <w:t xml:space="preserve"> 1978). Therefore, the isotopic anomalies of carbonaceous chondrites reveal the nucleosynthetic sources of solar system material. They can also be used to study stellar nucleosynthesis and conditions during circumstellar grain formation (</w:t>
      </w:r>
      <w:proofErr w:type="spellStart"/>
      <w:r w:rsidRPr="007B6884">
        <w:rPr>
          <w:rFonts w:ascii="Times New Roman" w:eastAsia="Times New Roman" w:hAnsi="Times New Roman" w:cs="Times New Roman"/>
          <w:sz w:val="24"/>
          <w:szCs w:val="24"/>
        </w:rPr>
        <w:t>Bernatowicz</w:t>
      </w:r>
      <w:proofErr w:type="spellEnd"/>
      <w:r w:rsidRPr="007B6884">
        <w:rPr>
          <w:rFonts w:ascii="Times New Roman" w:eastAsia="Times New Roman" w:hAnsi="Times New Roman" w:cs="Times New Roman"/>
          <w:sz w:val="24"/>
          <w:szCs w:val="24"/>
        </w:rPr>
        <w:t xml:space="preserve"> and </w:t>
      </w:r>
      <w:proofErr w:type="spellStart"/>
      <w:r w:rsidRPr="007B6884">
        <w:rPr>
          <w:rFonts w:ascii="Times New Roman" w:eastAsia="Times New Roman" w:hAnsi="Times New Roman" w:cs="Times New Roman"/>
          <w:sz w:val="24"/>
          <w:szCs w:val="24"/>
        </w:rPr>
        <w:t>Zinner</w:t>
      </w:r>
      <w:proofErr w:type="spellEnd"/>
      <w:r w:rsidRPr="007B6884">
        <w:rPr>
          <w:rFonts w:ascii="Times New Roman" w:eastAsia="Times New Roman" w:hAnsi="Times New Roman" w:cs="Times New Roman"/>
          <w:sz w:val="24"/>
          <w:szCs w:val="24"/>
        </w:rPr>
        <w:t>, 1997). Furthermore, they provide information about the solar nebula and the formation processes of the solar system.</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lastRenderedPageBreak/>
        <w:t xml:space="preserve">Zirconium is a promising element to address these issues. Large excesses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relative to the other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isotopes and a terrestrial standard were reported for some single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grains (</w:t>
      </w:r>
      <w:proofErr w:type="spellStart"/>
      <w:r w:rsidRPr="007B6884">
        <w:rPr>
          <w:rFonts w:ascii="Times New Roman" w:eastAsia="Times New Roman" w:hAnsi="Times New Roman" w:cs="Times New Roman"/>
          <w:sz w:val="24"/>
          <w:szCs w:val="24"/>
        </w:rPr>
        <w:t>Nicolussi</w:t>
      </w:r>
      <w:proofErr w:type="spellEnd"/>
      <w:r w:rsidRPr="007B6884">
        <w:rPr>
          <w:rFonts w:ascii="Times New Roman" w:eastAsia="Times New Roman" w:hAnsi="Times New Roman" w:cs="Times New Roman"/>
          <w:sz w:val="24"/>
          <w:szCs w:val="24"/>
        </w:rPr>
        <w:t xml:space="preserve"> et al 1998, Davis et al 1999a, </w:t>
      </w:r>
      <w:proofErr w:type="spellStart"/>
      <w:r w:rsidRPr="007B6884">
        <w:rPr>
          <w:rFonts w:ascii="Times New Roman" w:eastAsia="Times New Roman" w:hAnsi="Times New Roman" w:cs="Times New Roman"/>
          <w:sz w:val="24"/>
          <w:szCs w:val="24"/>
        </w:rPr>
        <w:t>Pellin</w:t>
      </w:r>
      <w:proofErr w:type="spellEnd"/>
      <w:r w:rsidRPr="007B6884">
        <w:rPr>
          <w:rFonts w:ascii="Times New Roman" w:eastAsia="Times New Roman" w:hAnsi="Times New Roman" w:cs="Times New Roman"/>
          <w:sz w:val="24"/>
          <w:szCs w:val="24"/>
        </w:rPr>
        <w:t xml:space="preserve"> et al 2000a, </w:t>
      </w:r>
      <w:proofErr w:type="spellStart"/>
      <w:r w:rsidRPr="007B6884">
        <w:rPr>
          <w:rFonts w:ascii="Times New Roman" w:eastAsia="Times New Roman" w:hAnsi="Times New Roman" w:cs="Times New Roman"/>
          <w:sz w:val="24"/>
          <w:szCs w:val="24"/>
        </w:rPr>
        <w:t>Pellin</w:t>
      </w:r>
      <w:proofErr w:type="spellEnd"/>
      <w:r w:rsidRPr="007B6884">
        <w:rPr>
          <w:rFonts w:ascii="Times New Roman" w:eastAsia="Times New Roman" w:hAnsi="Times New Roman" w:cs="Times New Roman"/>
          <w:sz w:val="24"/>
          <w:szCs w:val="24"/>
        </w:rPr>
        <w:t xml:space="preserve"> et al 2000b, </w:t>
      </w:r>
      <w:proofErr w:type="spellStart"/>
      <w:r w:rsidRPr="007B6884">
        <w:rPr>
          <w:rFonts w:ascii="Times New Roman" w:eastAsia="Times New Roman" w:hAnsi="Times New Roman" w:cs="Times New Roman"/>
          <w:sz w:val="24"/>
          <w:szCs w:val="24"/>
        </w:rPr>
        <w:t>Pellin</w:t>
      </w:r>
      <w:proofErr w:type="spellEnd"/>
      <w:r w:rsidRPr="007B6884">
        <w:rPr>
          <w:rFonts w:ascii="Times New Roman" w:eastAsia="Times New Roman" w:hAnsi="Times New Roman" w:cs="Times New Roman"/>
          <w:sz w:val="24"/>
          <w:szCs w:val="24"/>
        </w:rPr>
        <w:t xml:space="preserve"> et al 2002), whereas others display complementary patterns with a deficit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w:t>
      </w:r>
      <w:proofErr w:type="spellStart"/>
      <w:r w:rsidRPr="007B6884">
        <w:rPr>
          <w:rFonts w:ascii="Times New Roman" w:eastAsia="Times New Roman" w:hAnsi="Times New Roman" w:cs="Times New Roman"/>
          <w:sz w:val="24"/>
          <w:szCs w:val="24"/>
        </w:rPr>
        <w:t>Nicolussi</w:t>
      </w:r>
      <w:proofErr w:type="spellEnd"/>
      <w:r w:rsidRPr="007B6884">
        <w:rPr>
          <w:rFonts w:ascii="Times New Roman" w:eastAsia="Times New Roman" w:hAnsi="Times New Roman" w:cs="Times New Roman"/>
          <w:sz w:val="24"/>
          <w:szCs w:val="24"/>
        </w:rPr>
        <w:t xml:space="preserve"> et al 1997, Davis et al 1999b). The nucleosynthetic processes responsible for the production of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isotopes have to be understood to explain the observed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patterns. The two main neutron-capture processes, which produce most of the elements heavier than iron, are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 and </w:t>
      </w:r>
      <w:r w:rsidRPr="007B6884">
        <w:rPr>
          <w:rFonts w:ascii="Times New Roman" w:eastAsia="Times New Roman" w:hAnsi="Times New Roman" w:cs="Times New Roman"/>
          <w:i/>
          <w:iCs/>
          <w:sz w:val="24"/>
          <w:szCs w:val="24"/>
        </w:rPr>
        <w:t>r</w:t>
      </w:r>
      <w:r w:rsidRPr="007B6884">
        <w:rPr>
          <w:rFonts w:ascii="Times New Roman" w:eastAsia="Times New Roman" w:hAnsi="Times New Roman" w:cs="Times New Roman"/>
          <w:sz w:val="24"/>
          <w:szCs w:val="24"/>
        </w:rPr>
        <w:t xml:space="preserve">- process (Burbidge et al 1957, Wallerstein et al 1997).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isotopes of elements such as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may form in asymptotic giant branch (AGB) stars while the </w:t>
      </w:r>
      <w:r w:rsidRPr="007B6884">
        <w:rPr>
          <w:rFonts w:ascii="Times New Roman" w:eastAsia="Times New Roman" w:hAnsi="Times New Roman" w:cs="Times New Roman"/>
          <w:i/>
          <w:iCs/>
          <w:sz w:val="24"/>
          <w:szCs w:val="24"/>
        </w:rPr>
        <w:t>r</w:t>
      </w:r>
      <w:r w:rsidRPr="007B6884">
        <w:rPr>
          <w:rFonts w:ascii="Times New Roman" w:eastAsia="Times New Roman" w:hAnsi="Times New Roman" w:cs="Times New Roman"/>
          <w:sz w:val="24"/>
          <w:szCs w:val="24"/>
        </w:rPr>
        <w:t xml:space="preserve">- and the additional </w:t>
      </w:r>
      <w:r w:rsidRPr="007B6884">
        <w:rPr>
          <w:rFonts w:ascii="Times New Roman" w:eastAsia="Times New Roman" w:hAnsi="Times New Roman" w:cs="Times New Roman"/>
          <w:i/>
          <w:iCs/>
          <w:sz w:val="24"/>
          <w:szCs w:val="24"/>
        </w:rPr>
        <w:t>p</w:t>
      </w:r>
      <w:r w:rsidRPr="007B6884">
        <w:rPr>
          <w:rFonts w:ascii="Times New Roman" w:eastAsia="Times New Roman" w:hAnsi="Times New Roman" w:cs="Times New Roman"/>
          <w:sz w:val="24"/>
          <w:szCs w:val="24"/>
        </w:rPr>
        <w:t xml:space="preserve">-process isotopes are probably generated in supernova environments (Burbidge et al 1957, Wallerstein et al 1997). All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isotopes have mixed nucleosynthetic sources. However,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accounts for most of the </w:t>
      </w:r>
      <w:r w:rsidRPr="007B6884">
        <w:rPr>
          <w:rFonts w:ascii="Times New Roman" w:eastAsia="Times New Roman" w:hAnsi="Times New Roman" w:cs="Times New Roman"/>
          <w:sz w:val="24"/>
          <w:szCs w:val="24"/>
          <w:vertAlign w:val="superscript"/>
        </w:rPr>
        <w:t>90</w:t>
      </w:r>
      <w:r w:rsidRPr="007B6884">
        <w:rPr>
          <w:rFonts w:ascii="Times New Roman" w:eastAsia="Times New Roman" w:hAnsi="Times New Roman" w:cs="Times New Roman"/>
          <w:sz w:val="24"/>
          <w:szCs w:val="24"/>
        </w:rPr>
        <w:t xml:space="preserve">Zr, </w:t>
      </w:r>
      <w:r w:rsidRPr="007B6884">
        <w:rPr>
          <w:rFonts w:ascii="Times New Roman" w:eastAsia="Times New Roman" w:hAnsi="Times New Roman" w:cs="Times New Roman"/>
          <w:sz w:val="24"/>
          <w:szCs w:val="24"/>
          <w:vertAlign w:val="superscript"/>
        </w:rPr>
        <w:t>91</w:t>
      </w:r>
      <w:r w:rsidRPr="007B6884">
        <w:rPr>
          <w:rFonts w:ascii="Times New Roman" w:eastAsia="Times New Roman" w:hAnsi="Times New Roman" w:cs="Times New Roman"/>
          <w:sz w:val="24"/>
          <w:szCs w:val="24"/>
        </w:rPr>
        <w:t xml:space="preserve">Zr, </w:t>
      </w:r>
      <w:r w:rsidRPr="007B6884">
        <w:rPr>
          <w:rFonts w:ascii="Times New Roman" w:eastAsia="Times New Roman" w:hAnsi="Times New Roman" w:cs="Times New Roman"/>
          <w:sz w:val="24"/>
          <w:szCs w:val="24"/>
          <w:vertAlign w:val="superscript"/>
        </w:rPr>
        <w:t>92</w:t>
      </w:r>
      <w:r w:rsidRPr="007B6884">
        <w:rPr>
          <w:rFonts w:ascii="Times New Roman" w:eastAsia="Times New Roman" w:hAnsi="Times New Roman" w:cs="Times New Roman"/>
          <w:sz w:val="24"/>
          <w:szCs w:val="24"/>
        </w:rPr>
        <w:t xml:space="preserve">Zr and </w:t>
      </w:r>
      <w:r w:rsidRPr="007B6884">
        <w:rPr>
          <w:rFonts w:ascii="Times New Roman" w:eastAsia="Times New Roman" w:hAnsi="Times New Roman" w:cs="Times New Roman"/>
          <w:sz w:val="24"/>
          <w:szCs w:val="24"/>
          <w:vertAlign w:val="superscript"/>
        </w:rPr>
        <w:t>94</w:t>
      </w:r>
      <w:r w:rsidRPr="007B6884">
        <w:rPr>
          <w:rFonts w:ascii="Times New Roman" w:eastAsia="Times New Roman" w:hAnsi="Times New Roman" w:cs="Times New Roman"/>
          <w:sz w:val="24"/>
          <w:szCs w:val="24"/>
        </w:rPr>
        <w:t xml:space="preserve">Zr. For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there are several possibilities. The </w:t>
      </w:r>
      <w:r w:rsidRPr="007B6884">
        <w:rPr>
          <w:rFonts w:ascii="Times New Roman" w:eastAsia="Times New Roman" w:hAnsi="Times New Roman" w:cs="Times New Roman"/>
          <w:i/>
          <w:iCs/>
          <w:sz w:val="24"/>
          <w:szCs w:val="24"/>
        </w:rPr>
        <w:t>r</w:t>
      </w:r>
      <w:r w:rsidRPr="007B6884">
        <w:rPr>
          <w:rFonts w:ascii="Times New Roman" w:eastAsia="Times New Roman" w:hAnsi="Times New Roman" w:cs="Times New Roman"/>
          <w:sz w:val="24"/>
          <w:szCs w:val="24"/>
        </w:rPr>
        <w:t xml:space="preserve">-process was considered as the only production mechanism for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by </w:t>
      </w:r>
      <w:proofErr w:type="spellStart"/>
      <w:r w:rsidRPr="007B6884">
        <w:rPr>
          <w:rFonts w:ascii="Times New Roman" w:eastAsia="Times New Roman" w:hAnsi="Times New Roman" w:cs="Times New Roman"/>
          <w:sz w:val="24"/>
          <w:szCs w:val="24"/>
        </w:rPr>
        <w:t>Käppeler</w:t>
      </w:r>
      <w:proofErr w:type="spellEnd"/>
      <w:r w:rsidRPr="007B6884">
        <w:rPr>
          <w:rFonts w:ascii="Times New Roman" w:eastAsia="Times New Roman" w:hAnsi="Times New Roman" w:cs="Times New Roman"/>
          <w:sz w:val="24"/>
          <w:szCs w:val="24"/>
        </w:rPr>
        <w:t xml:space="preserve"> et al. (1989), while the two models presented by </w:t>
      </w:r>
      <w:proofErr w:type="spellStart"/>
      <w:r w:rsidRPr="007B6884">
        <w:rPr>
          <w:rFonts w:ascii="Times New Roman" w:eastAsia="Times New Roman" w:hAnsi="Times New Roman" w:cs="Times New Roman"/>
          <w:sz w:val="24"/>
          <w:szCs w:val="24"/>
        </w:rPr>
        <w:t>Arlandini</w:t>
      </w:r>
      <w:proofErr w:type="spellEnd"/>
      <w:r w:rsidRPr="007B6884">
        <w:rPr>
          <w:rFonts w:ascii="Times New Roman" w:eastAsia="Times New Roman" w:hAnsi="Times New Roman" w:cs="Times New Roman"/>
          <w:sz w:val="24"/>
          <w:szCs w:val="24"/>
        </w:rPr>
        <w:t xml:space="preserve"> et al. (1999) (the so-called classical model, which supersedes </w:t>
      </w:r>
      <w:proofErr w:type="spellStart"/>
      <w:r w:rsidRPr="007B6884">
        <w:rPr>
          <w:rFonts w:ascii="Times New Roman" w:eastAsia="Times New Roman" w:hAnsi="Times New Roman" w:cs="Times New Roman"/>
          <w:sz w:val="24"/>
          <w:szCs w:val="24"/>
        </w:rPr>
        <w:t>Käppeler</w:t>
      </w:r>
      <w:proofErr w:type="spellEnd"/>
      <w:r w:rsidRPr="007B6884">
        <w:rPr>
          <w:rFonts w:ascii="Times New Roman" w:eastAsia="Times New Roman" w:hAnsi="Times New Roman" w:cs="Times New Roman"/>
          <w:sz w:val="24"/>
          <w:szCs w:val="24"/>
        </w:rPr>
        <w:t xml:space="preserve"> et al. (1989) and the stellar model) suggest that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accounts for 51 or 55% of the solar system budget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respectively. The nuclide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can be produced by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-process, if the neutron density at the production site is high (</w:t>
      </w:r>
      <w:proofErr w:type="spellStart"/>
      <w:r w:rsidRPr="007B6884">
        <w:rPr>
          <w:rFonts w:ascii="Times New Roman" w:eastAsia="Times New Roman" w:hAnsi="Times New Roman" w:cs="Times New Roman"/>
          <w:sz w:val="24"/>
          <w:szCs w:val="24"/>
        </w:rPr>
        <w:t>Nicolussi</w:t>
      </w:r>
      <w:proofErr w:type="spellEnd"/>
      <w:r w:rsidRPr="007B6884">
        <w:rPr>
          <w:rFonts w:ascii="Times New Roman" w:eastAsia="Times New Roman" w:hAnsi="Times New Roman" w:cs="Times New Roman"/>
          <w:sz w:val="24"/>
          <w:szCs w:val="24"/>
        </w:rPr>
        <w:t xml:space="preserve"> et al 1998, </w:t>
      </w:r>
      <w:proofErr w:type="spellStart"/>
      <w:r w:rsidRPr="007B6884">
        <w:rPr>
          <w:rFonts w:ascii="Times New Roman" w:eastAsia="Times New Roman" w:hAnsi="Times New Roman" w:cs="Times New Roman"/>
          <w:sz w:val="24"/>
          <w:szCs w:val="24"/>
        </w:rPr>
        <w:t>Lugaro</w:t>
      </w:r>
      <w:proofErr w:type="spellEnd"/>
      <w:r w:rsidRPr="007B6884">
        <w:rPr>
          <w:rFonts w:ascii="Times New Roman" w:eastAsia="Times New Roman" w:hAnsi="Times New Roman" w:cs="Times New Roman"/>
          <w:sz w:val="24"/>
          <w:szCs w:val="24"/>
        </w:rPr>
        <w:t xml:space="preserve"> et al 2003) and this usually occurs during short evolutionary phases of an AGB star. If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neutron density exceeds </w:t>
      </w:r>
      <w:r w:rsidRPr="007B6884">
        <w:rPr>
          <w:rFonts w:ascii="Cambria Math" w:eastAsia="Times New Roman" w:hAnsi="Cambria Math" w:cs="Cambria Math"/>
          <w:sz w:val="24"/>
          <w:szCs w:val="24"/>
        </w:rPr>
        <w:t>∼</w:t>
      </w:r>
      <w:r w:rsidRPr="007B6884">
        <w:rPr>
          <w:rFonts w:ascii="Times New Roman" w:eastAsia="Times New Roman" w:hAnsi="Times New Roman" w:cs="Times New Roman"/>
          <w:sz w:val="24"/>
          <w:szCs w:val="24"/>
        </w:rPr>
        <w:t>10</w:t>
      </w:r>
      <w:r w:rsidRPr="007B6884">
        <w:rPr>
          <w:rFonts w:ascii="Times New Roman" w:eastAsia="Times New Roman" w:hAnsi="Times New Roman" w:cs="Times New Roman"/>
          <w:sz w:val="24"/>
          <w:szCs w:val="24"/>
          <w:vertAlign w:val="superscript"/>
        </w:rPr>
        <w:t>8</w:t>
      </w:r>
      <w:r w:rsidRPr="007B6884">
        <w:rPr>
          <w:rFonts w:ascii="Times New Roman" w:eastAsia="Times New Roman" w:hAnsi="Times New Roman" w:cs="Times New Roman"/>
          <w:sz w:val="24"/>
          <w:szCs w:val="24"/>
        </w:rPr>
        <w:t xml:space="preserve"> cm</w:t>
      </w:r>
      <w:r w:rsidRPr="007B6884">
        <w:rPr>
          <w:rFonts w:ascii="Times New Roman" w:eastAsia="Times New Roman" w:hAnsi="Times New Roman" w:cs="Times New Roman"/>
          <w:sz w:val="24"/>
          <w:szCs w:val="24"/>
          <w:vertAlign w:val="superscript"/>
        </w:rPr>
        <w:t>−3</w:t>
      </w:r>
      <w:r w:rsidRPr="007B6884">
        <w:rPr>
          <w:rFonts w:ascii="Times New Roman" w:eastAsia="Times New Roman" w:hAnsi="Times New Roman" w:cs="Times New Roman"/>
          <w:sz w:val="24"/>
          <w:szCs w:val="24"/>
        </w:rPr>
        <w:t>, neutron capture can compete effectively with the β</w:t>
      </w:r>
      <w:r w:rsidRPr="007B6884">
        <w:rPr>
          <w:rFonts w:ascii="Times New Roman" w:eastAsia="Times New Roman" w:hAnsi="Times New Roman" w:cs="Times New Roman"/>
          <w:sz w:val="24"/>
          <w:szCs w:val="24"/>
          <w:vertAlign w:val="superscript"/>
        </w:rPr>
        <w:t>−</w:t>
      </w:r>
      <w:r w:rsidRPr="007B6884">
        <w:rPr>
          <w:rFonts w:ascii="Times New Roman" w:eastAsia="Times New Roman" w:hAnsi="Times New Roman" w:cs="Times New Roman"/>
          <w:sz w:val="24"/>
          <w:szCs w:val="24"/>
        </w:rPr>
        <w:t xml:space="preserve"> decay of </w:t>
      </w:r>
      <w:r w:rsidRPr="007B6884">
        <w:rPr>
          <w:rFonts w:ascii="Times New Roman" w:eastAsia="Times New Roman" w:hAnsi="Times New Roman" w:cs="Times New Roman"/>
          <w:sz w:val="24"/>
          <w:szCs w:val="24"/>
          <w:vertAlign w:val="superscript"/>
        </w:rPr>
        <w:t>95</w:t>
      </w:r>
      <w:r w:rsidRPr="007B6884">
        <w:rPr>
          <w:rFonts w:ascii="Times New Roman" w:eastAsia="Times New Roman" w:hAnsi="Times New Roman" w:cs="Times New Roman"/>
          <w:sz w:val="24"/>
          <w:szCs w:val="24"/>
        </w:rPr>
        <w:t xml:space="preserve">Zr (half-life = 64 d) resulting in the synthesis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Depletions in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are therefore indicative of an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-process that has taken place at low neutron densities (&lt;10</w:t>
      </w:r>
      <w:r w:rsidRPr="007B6884">
        <w:rPr>
          <w:rFonts w:ascii="Times New Roman" w:eastAsia="Times New Roman" w:hAnsi="Times New Roman" w:cs="Times New Roman"/>
          <w:sz w:val="24"/>
          <w:szCs w:val="24"/>
          <w:vertAlign w:val="superscript"/>
        </w:rPr>
        <w:t>8</w:t>
      </w:r>
      <w:r w:rsidRPr="007B6884">
        <w:rPr>
          <w:rFonts w:ascii="Times New Roman" w:eastAsia="Times New Roman" w:hAnsi="Times New Roman" w:cs="Times New Roman"/>
          <w:sz w:val="24"/>
          <w:szCs w:val="24"/>
        </w:rPr>
        <w:t xml:space="preserve"> cm</w:t>
      </w:r>
      <w:r w:rsidRPr="007B6884">
        <w:rPr>
          <w:rFonts w:ascii="Times New Roman" w:eastAsia="Times New Roman" w:hAnsi="Times New Roman" w:cs="Times New Roman"/>
          <w:sz w:val="24"/>
          <w:szCs w:val="24"/>
          <w:vertAlign w:val="superscript"/>
        </w:rPr>
        <w:t>−3</w:t>
      </w:r>
      <w:r w:rsidRPr="007B6884">
        <w:rPr>
          <w:rFonts w:ascii="Times New Roman" w:eastAsia="Times New Roman" w:hAnsi="Times New Roman" w:cs="Times New Roman"/>
          <w:sz w:val="24"/>
          <w:szCs w:val="24"/>
        </w:rPr>
        <w:t xml:space="preserve">) and this is what has been observed in mainstream </w:t>
      </w:r>
      <w:proofErr w:type="spellStart"/>
      <w:r w:rsidRPr="007B6884">
        <w:rPr>
          <w:rFonts w:ascii="Times New Roman" w:eastAsia="Times New Roman" w:hAnsi="Times New Roman" w:cs="Times New Roman"/>
          <w:sz w:val="24"/>
          <w:szCs w:val="24"/>
        </w:rPr>
        <w:t>SiC</w:t>
      </w:r>
      <w:proofErr w:type="spellEnd"/>
      <w:r w:rsidRPr="007B6884">
        <w:rPr>
          <w:rFonts w:ascii="Times New Roman" w:eastAsia="Times New Roman" w:hAnsi="Times New Roman" w:cs="Times New Roman"/>
          <w:sz w:val="24"/>
          <w:szCs w:val="24"/>
        </w:rPr>
        <w:t xml:space="preserve"> grains (</w:t>
      </w:r>
      <w:proofErr w:type="spellStart"/>
      <w:r w:rsidRPr="007B6884">
        <w:rPr>
          <w:rFonts w:ascii="Times New Roman" w:eastAsia="Times New Roman" w:hAnsi="Times New Roman" w:cs="Times New Roman"/>
          <w:sz w:val="24"/>
          <w:szCs w:val="24"/>
        </w:rPr>
        <w:t>Nicolussi</w:t>
      </w:r>
      <w:proofErr w:type="spellEnd"/>
      <w:r w:rsidRPr="007B6884">
        <w:rPr>
          <w:rFonts w:ascii="Times New Roman" w:eastAsia="Times New Roman" w:hAnsi="Times New Roman" w:cs="Times New Roman"/>
          <w:sz w:val="24"/>
          <w:szCs w:val="24"/>
        </w:rPr>
        <w:t xml:space="preserve"> et al 1997, Davis et al 1999b). However, the observed variations in the depletion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suggest that some grains also contain small contributions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that were produced at higher neutron densities. Solar system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produced by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is a mixture of both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formed at low and high neutron densities. The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excesses observed in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graphite grains (</w:t>
      </w:r>
      <w:proofErr w:type="spellStart"/>
      <w:r w:rsidRPr="007B6884">
        <w:rPr>
          <w:rFonts w:ascii="Times New Roman" w:eastAsia="Times New Roman" w:hAnsi="Times New Roman" w:cs="Times New Roman"/>
          <w:sz w:val="24"/>
          <w:szCs w:val="24"/>
        </w:rPr>
        <w:t>Nicolussi</w:t>
      </w:r>
      <w:proofErr w:type="spellEnd"/>
      <w:r w:rsidRPr="007B6884">
        <w:rPr>
          <w:rFonts w:ascii="Times New Roman" w:eastAsia="Times New Roman" w:hAnsi="Times New Roman" w:cs="Times New Roman"/>
          <w:sz w:val="24"/>
          <w:szCs w:val="24"/>
        </w:rPr>
        <w:t xml:space="preserve"> et al., 1998) were thought to be produced by either the </w:t>
      </w:r>
      <w:r w:rsidRPr="007B6884">
        <w:rPr>
          <w:rFonts w:ascii="Times New Roman" w:eastAsia="Times New Roman" w:hAnsi="Times New Roman" w:cs="Times New Roman"/>
          <w:i/>
          <w:iCs/>
          <w:sz w:val="24"/>
          <w:szCs w:val="24"/>
        </w:rPr>
        <w:t>r</w:t>
      </w:r>
      <w:r w:rsidRPr="007B6884">
        <w:rPr>
          <w:rFonts w:ascii="Times New Roman" w:eastAsia="Times New Roman" w:hAnsi="Times New Roman" w:cs="Times New Roman"/>
          <w:sz w:val="24"/>
          <w:szCs w:val="24"/>
        </w:rPr>
        <w:t xml:space="preserve">-process or by the </w:t>
      </w:r>
      <w:r w:rsidRPr="007B6884">
        <w:rPr>
          <w:rFonts w:ascii="Times New Roman" w:eastAsia="Times New Roman" w:hAnsi="Times New Roman" w:cs="Times New Roman"/>
          <w:i/>
          <w:iCs/>
          <w:sz w:val="24"/>
          <w:szCs w:val="24"/>
        </w:rPr>
        <w:t>s</w:t>
      </w:r>
      <w:r w:rsidRPr="007B6884">
        <w:rPr>
          <w:rFonts w:ascii="Times New Roman" w:eastAsia="Times New Roman" w:hAnsi="Times New Roman" w:cs="Times New Roman"/>
          <w:sz w:val="24"/>
          <w:szCs w:val="24"/>
        </w:rPr>
        <w:t xml:space="preserve">-process at high neutron density. As a third possible mechanism, the excesses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observed in </w:t>
      </w:r>
      <w:proofErr w:type="spellStart"/>
      <w:r w:rsidRPr="007B6884">
        <w:rPr>
          <w:rFonts w:ascii="Times New Roman" w:eastAsia="Times New Roman" w:hAnsi="Times New Roman" w:cs="Times New Roman"/>
          <w:sz w:val="24"/>
          <w:szCs w:val="24"/>
        </w:rPr>
        <w:t>SiC</w:t>
      </w:r>
      <w:proofErr w:type="spellEnd"/>
      <w:r w:rsidRPr="007B6884">
        <w:rPr>
          <w:rFonts w:ascii="Times New Roman" w:eastAsia="Times New Roman" w:hAnsi="Times New Roman" w:cs="Times New Roman"/>
          <w:sz w:val="24"/>
          <w:szCs w:val="24"/>
        </w:rPr>
        <w:t xml:space="preserve"> X-grains were interpreted as the result of a supernova neutron burst (Davis et al 1999a, Meyer et al 2000, </w:t>
      </w:r>
      <w:proofErr w:type="spellStart"/>
      <w:r w:rsidRPr="007B6884">
        <w:rPr>
          <w:rFonts w:ascii="Times New Roman" w:eastAsia="Times New Roman" w:hAnsi="Times New Roman" w:cs="Times New Roman"/>
          <w:sz w:val="24"/>
          <w:szCs w:val="24"/>
        </w:rPr>
        <w:t>Pellin</w:t>
      </w:r>
      <w:proofErr w:type="spellEnd"/>
      <w:r w:rsidRPr="007B6884">
        <w:rPr>
          <w:rFonts w:ascii="Times New Roman" w:eastAsia="Times New Roman" w:hAnsi="Times New Roman" w:cs="Times New Roman"/>
          <w:sz w:val="24"/>
          <w:szCs w:val="24"/>
        </w:rPr>
        <w:t xml:space="preserve"> et al 2000a, </w:t>
      </w:r>
      <w:proofErr w:type="spellStart"/>
      <w:r w:rsidRPr="007B6884">
        <w:rPr>
          <w:rFonts w:ascii="Times New Roman" w:eastAsia="Times New Roman" w:hAnsi="Times New Roman" w:cs="Times New Roman"/>
          <w:sz w:val="24"/>
          <w:szCs w:val="24"/>
        </w:rPr>
        <w:t>Pellin</w:t>
      </w:r>
      <w:proofErr w:type="spellEnd"/>
      <w:r w:rsidRPr="007B6884">
        <w:rPr>
          <w:rFonts w:ascii="Times New Roman" w:eastAsia="Times New Roman" w:hAnsi="Times New Roman" w:cs="Times New Roman"/>
          <w:sz w:val="24"/>
          <w:szCs w:val="24"/>
        </w:rPr>
        <w:t xml:space="preserve"> et al 2000b, </w:t>
      </w:r>
      <w:proofErr w:type="spellStart"/>
      <w:r w:rsidRPr="007B6884">
        <w:rPr>
          <w:rFonts w:ascii="Times New Roman" w:eastAsia="Times New Roman" w:hAnsi="Times New Roman" w:cs="Times New Roman"/>
          <w:sz w:val="24"/>
          <w:szCs w:val="24"/>
        </w:rPr>
        <w:t>Pellin</w:t>
      </w:r>
      <w:proofErr w:type="spellEnd"/>
      <w:r w:rsidRPr="007B6884">
        <w:rPr>
          <w:rFonts w:ascii="Times New Roman" w:eastAsia="Times New Roman" w:hAnsi="Times New Roman" w:cs="Times New Roman"/>
          <w:sz w:val="24"/>
          <w:szCs w:val="24"/>
        </w:rPr>
        <w:t xml:space="preserve"> et al 2002).</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In addition to the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anomalies discovered in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grains, excess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was also observed in calcium-aluminum rich inclusions (CAI) (Harper et al 1991, Yin et al 2001, </w:t>
      </w:r>
      <w:proofErr w:type="spellStart"/>
      <w:r w:rsidRPr="007B6884">
        <w:rPr>
          <w:rFonts w:ascii="Times New Roman" w:eastAsia="Times New Roman" w:hAnsi="Times New Roman" w:cs="Times New Roman"/>
          <w:sz w:val="24"/>
          <w:szCs w:val="24"/>
        </w:rPr>
        <w:t>Schönbächler</w:t>
      </w:r>
      <w:proofErr w:type="spellEnd"/>
      <w:r w:rsidRPr="007B6884">
        <w:rPr>
          <w:rFonts w:ascii="Times New Roman" w:eastAsia="Times New Roman" w:hAnsi="Times New Roman" w:cs="Times New Roman"/>
          <w:sz w:val="24"/>
          <w:szCs w:val="24"/>
        </w:rPr>
        <w:t xml:space="preserve"> et al 2003). In a previous investigation, we have identified excess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in leachates of the Allende meteorite (</w:t>
      </w:r>
      <w:proofErr w:type="spellStart"/>
      <w:r w:rsidRPr="007B6884">
        <w:rPr>
          <w:rFonts w:ascii="Times New Roman" w:eastAsia="Times New Roman" w:hAnsi="Times New Roman" w:cs="Times New Roman"/>
          <w:sz w:val="24"/>
          <w:szCs w:val="24"/>
        </w:rPr>
        <w:t>Schönbächler</w:t>
      </w:r>
      <w:proofErr w:type="spellEnd"/>
      <w:r w:rsidRPr="007B6884">
        <w:rPr>
          <w:rFonts w:ascii="Times New Roman" w:eastAsia="Times New Roman" w:hAnsi="Times New Roman" w:cs="Times New Roman"/>
          <w:sz w:val="24"/>
          <w:szCs w:val="24"/>
        </w:rPr>
        <w:t xml:space="preserve"> et al., 2003). In the present study, we have conducted additional leaching experiments on the carbonaceous chondrites Allende (CV3.2), Murchison (CM2) and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(CI1) and determined the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isotopic compositions of the leachates. The results are used to discuss and constrain the origin and carrier phases of the isotopic anomalies.</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Section snippets</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Analytical procedure</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A powdered whole rock sample of Allende (Allende-b, 0.825 g), one of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(1.0 g) and two of Murchison (Murchison-a, 1.5 g and Murchison-b, 2.024 g) were sequentially digested with reagents of increasing acid strength. The leaching procedure of Allende-b, Murchison-a and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is very similar to that previously applied for Allende (Allende-a, 1.996 g), as reported in </w:t>
      </w:r>
      <w:proofErr w:type="spellStart"/>
      <w:r w:rsidRPr="007B6884">
        <w:rPr>
          <w:rFonts w:ascii="Times New Roman" w:eastAsia="Times New Roman" w:hAnsi="Times New Roman" w:cs="Times New Roman"/>
          <w:sz w:val="24"/>
          <w:szCs w:val="24"/>
        </w:rPr>
        <w:t>Schönbächler</w:t>
      </w:r>
      <w:proofErr w:type="spellEnd"/>
      <w:r w:rsidRPr="007B6884">
        <w:rPr>
          <w:rFonts w:ascii="Times New Roman" w:eastAsia="Times New Roman" w:hAnsi="Times New Roman" w:cs="Times New Roman"/>
          <w:sz w:val="24"/>
          <w:szCs w:val="24"/>
        </w:rPr>
        <w:t xml:space="preserve"> et al. (2003), except for the final dissolution steps (Table 1). A digestion with aqua regia in a high-pressure </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lastRenderedPageBreak/>
        <w:t>Results</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The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isotope data for the three investigated carbonaceous chondrites show consistent patterns (Fig. 1, Table 2). With the exception of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the acetic acid leachates display the largest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excesses, reaching ε</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 +48.6 ±1.4 in the case of Murchison-a. For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the low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content of this fraction prevented an accurate isotopic measurement. In subsequent dissolution steps, the atomic abundance of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decreases to the terrestrial value and even significantly below this for </w:t>
      </w:r>
      <w:proofErr w:type="spellStart"/>
      <w:r w:rsidRPr="007B6884">
        <w:rPr>
          <w:rFonts w:ascii="Times New Roman" w:eastAsia="Times New Roman" w:hAnsi="Times New Roman" w:cs="Times New Roman"/>
          <w:sz w:val="24"/>
          <w:szCs w:val="24"/>
        </w:rPr>
        <w:t>Orgueil</w:t>
      </w:r>
      <w:proofErr w:type="spellEnd"/>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 xml:space="preserve">Initial </w:t>
      </w:r>
      <w:r w:rsidRPr="007B6884">
        <w:rPr>
          <w:rFonts w:ascii="Times New Roman" w:eastAsia="Times New Roman" w:hAnsi="Times New Roman" w:cs="Times New Roman"/>
          <w:b/>
          <w:bCs/>
          <w:sz w:val="36"/>
          <w:szCs w:val="36"/>
          <w:vertAlign w:val="superscript"/>
        </w:rPr>
        <w:t>92</w:t>
      </w:r>
      <w:r w:rsidRPr="007B6884">
        <w:rPr>
          <w:rFonts w:ascii="Times New Roman" w:eastAsia="Times New Roman" w:hAnsi="Times New Roman" w:cs="Times New Roman"/>
          <w:b/>
          <w:bCs/>
          <w:sz w:val="36"/>
          <w:szCs w:val="36"/>
        </w:rPr>
        <w:t>Nb/</w:t>
      </w:r>
      <w:r w:rsidRPr="007B6884">
        <w:rPr>
          <w:rFonts w:ascii="Times New Roman" w:eastAsia="Times New Roman" w:hAnsi="Times New Roman" w:cs="Times New Roman"/>
          <w:b/>
          <w:bCs/>
          <w:sz w:val="36"/>
          <w:szCs w:val="36"/>
          <w:vertAlign w:val="superscript"/>
        </w:rPr>
        <w:t>93</w:t>
      </w:r>
      <w:r w:rsidRPr="007B6884">
        <w:rPr>
          <w:rFonts w:ascii="Times New Roman" w:eastAsia="Times New Roman" w:hAnsi="Times New Roman" w:cs="Times New Roman"/>
          <w:b/>
          <w:bCs/>
          <w:sz w:val="36"/>
          <w:szCs w:val="36"/>
        </w:rPr>
        <w:t>Nb Ratio of the Solar System</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Allende, Murchison and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like all carbonaceous chondrites, are derived from parent bodies that most probably accreted within the first 10 </w:t>
      </w:r>
      <w:proofErr w:type="spellStart"/>
      <w:r w:rsidRPr="007B6884">
        <w:rPr>
          <w:rFonts w:ascii="Times New Roman" w:eastAsia="Times New Roman" w:hAnsi="Times New Roman" w:cs="Times New Roman"/>
          <w:sz w:val="24"/>
          <w:szCs w:val="24"/>
        </w:rPr>
        <w:t>Myr</w:t>
      </w:r>
      <w:proofErr w:type="spellEnd"/>
      <w:r w:rsidRPr="007B6884">
        <w:rPr>
          <w:rFonts w:ascii="Times New Roman" w:eastAsia="Times New Roman" w:hAnsi="Times New Roman" w:cs="Times New Roman"/>
          <w:sz w:val="24"/>
          <w:szCs w:val="24"/>
        </w:rPr>
        <w:t xml:space="preserve"> of the solar system. For this reason, the isotopic composition of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must have been influenced by the decay of the short-lived radionuclide </w:t>
      </w:r>
      <w:r w:rsidRPr="007B6884">
        <w:rPr>
          <w:rFonts w:ascii="Times New Roman" w:eastAsia="Times New Roman" w:hAnsi="Times New Roman" w:cs="Times New Roman"/>
          <w:sz w:val="24"/>
          <w:szCs w:val="24"/>
          <w:vertAlign w:val="superscript"/>
        </w:rPr>
        <w:t>92</w:t>
      </w:r>
      <w:r w:rsidRPr="007B6884">
        <w:rPr>
          <w:rFonts w:ascii="Times New Roman" w:eastAsia="Times New Roman" w:hAnsi="Times New Roman" w:cs="Times New Roman"/>
          <w:sz w:val="24"/>
          <w:szCs w:val="24"/>
        </w:rPr>
        <w:t xml:space="preserve">Nb, which decays to </w:t>
      </w:r>
      <w:r w:rsidRPr="007B6884">
        <w:rPr>
          <w:rFonts w:ascii="Times New Roman" w:eastAsia="Times New Roman" w:hAnsi="Times New Roman" w:cs="Times New Roman"/>
          <w:sz w:val="24"/>
          <w:szCs w:val="24"/>
          <w:vertAlign w:val="superscript"/>
        </w:rPr>
        <w:t>92</w:t>
      </w:r>
      <w:r w:rsidRPr="007B6884">
        <w:rPr>
          <w:rFonts w:ascii="Times New Roman" w:eastAsia="Times New Roman" w:hAnsi="Times New Roman" w:cs="Times New Roman"/>
          <w:sz w:val="24"/>
          <w:szCs w:val="24"/>
        </w:rPr>
        <w:t xml:space="preserve">Zr with a half-life of 36 ± 3 </w:t>
      </w:r>
      <w:proofErr w:type="spellStart"/>
      <w:r w:rsidRPr="007B6884">
        <w:rPr>
          <w:rFonts w:ascii="Times New Roman" w:eastAsia="Times New Roman" w:hAnsi="Times New Roman" w:cs="Times New Roman"/>
          <w:sz w:val="24"/>
          <w:szCs w:val="24"/>
        </w:rPr>
        <w:t>Myr</w:t>
      </w:r>
      <w:proofErr w:type="spellEnd"/>
      <w:r w:rsidRPr="007B6884">
        <w:rPr>
          <w:rFonts w:ascii="Times New Roman" w:eastAsia="Times New Roman" w:hAnsi="Times New Roman" w:cs="Times New Roman"/>
          <w:sz w:val="24"/>
          <w:szCs w:val="24"/>
        </w:rPr>
        <w:t xml:space="preserve"> (</w:t>
      </w:r>
      <w:proofErr w:type="spellStart"/>
      <w:r w:rsidRPr="007B6884">
        <w:rPr>
          <w:rFonts w:ascii="Times New Roman" w:eastAsia="Times New Roman" w:hAnsi="Times New Roman" w:cs="Times New Roman"/>
          <w:sz w:val="24"/>
          <w:szCs w:val="24"/>
        </w:rPr>
        <w:t>Nethaway</w:t>
      </w:r>
      <w:proofErr w:type="spellEnd"/>
      <w:r w:rsidRPr="007B6884">
        <w:rPr>
          <w:rFonts w:ascii="Times New Roman" w:eastAsia="Times New Roman" w:hAnsi="Times New Roman" w:cs="Times New Roman"/>
          <w:sz w:val="24"/>
          <w:szCs w:val="24"/>
        </w:rPr>
        <w:t xml:space="preserve"> et al., 1978). Within a closed system, the decay should generate ε</w:t>
      </w:r>
      <w:r w:rsidRPr="007B6884">
        <w:rPr>
          <w:rFonts w:ascii="Times New Roman" w:eastAsia="Times New Roman" w:hAnsi="Times New Roman" w:cs="Times New Roman"/>
          <w:sz w:val="24"/>
          <w:szCs w:val="24"/>
          <w:vertAlign w:val="superscript"/>
        </w:rPr>
        <w:t>92</w:t>
      </w:r>
      <w:r w:rsidRPr="007B6884">
        <w:rPr>
          <w:rFonts w:ascii="Times New Roman" w:eastAsia="Times New Roman" w:hAnsi="Times New Roman" w:cs="Times New Roman"/>
          <w:sz w:val="24"/>
          <w:szCs w:val="24"/>
        </w:rPr>
        <w:t xml:space="preserve">Zr values that correlate with </w:t>
      </w:r>
      <w:proofErr w:type="spellStart"/>
      <w:r w:rsidRPr="007B6884">
        <w:rPr>
          <w:rFonts w:ascii="Times New Roman" w:eastAsia="Times New Roman" w:hAnsi="Times New Roman" w:cs="Times New Roman"/>
          <w:sz w:val="24"/>
          <w:szCs w:val="24"/>
        </w:rPr>
        <w:t>Nb</w:t>
      </w:r>
      <w:proofErr w:type="spellEnd"/>
      <w:r w:rsidRPr="007B6884">
        <w:rPr>
          <w:rFonts w:ascii="Times New Roman" w:eastAsia="Times New Roman" w:hAnsi="Times New Roman" w:cs="Times New Roman"/>
          <w:sz w:val="24"/>
          <w:szCs w:val="24"/>
        </w:rPr>
        <w:t>/</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ratios. Such a correlation is,</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Summary and conclusions</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Leachates of the carbonaceous chondrites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Murchison and Allende reveal large ε</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anomalies in the acetic acid leachates. The ε</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 xml:space="preserve">Zr values of the leachates decrease with increasing strength of the acid and most of the final leachates display depletions in </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It is furthermore observed that anomalies in ε</w:t>
      </w:r>
      <w:r w:rsidRPr="007B6884">
        <w:rPr>
          <w:rFonts w:ascii="Times New Roman" w:eastAsia="Times New Roman" w:hAnsi="Times New Roman" w:cs="Times New Roman"/>
          <w:sz w:val="24"/>
          <w:szCs w:val="24"/>
          <w:vertAlign w:val="superscript"/>
        </w:rPr>
        <w:t>96</w:t>
      </w:r>
      <w:r w:rsidRPr="007B6884">
        <w:rPr>
          <w:rFonts w:ascii="Times New Roman" w:eastAsia="Times New Roman" w:hAnsi="Times New Roman" w:cs="Times New Roman"/>
          <w:sz w:val="24"/>
          <w:szCs w:val="24"/>
        </w:rPr>
        <w:t>Zr correlate with ε</w:t>
      </w:r>
      <w:r w:rsidRPr="007B6884">
        <w:rPr>
          <w:rFonts w:ascii="Times New Roman" w:eastAsia="Times New Roman" w:hAnsi="Times New Roman" w:cs="Times New Roman"/>
          <w:sz w:val="24"/>
          <w:szCs w:val="24"/>
          <w:vertAlign w:val="superscript"/>
        </w:rPr>
        <w:t>91</w:t>
      </w:r>
      <w:r w:rsidRPr="007B6884">
        <w:rPr>
          <w:rFonts w:ascii="Times New Roman" w:eastAsia="Times New Roman" w:hAnsi="Times New Roman" w:cs="Times New Roman"/>
          <w:sz w:val="24"/>
          <w:szCs w:val="24"/>
        </w:rPr>
        <w:t>Zr and ε</w:t>
      </w:r>
      <w:r w:rsidRPr="007B6884">
        <w:rPr>
          <w:rFonts w:ascii="Times New Roman" w:eastAsia="Times New Roman" w:hAnsi="Times New Roman" w:cs="Times New Roman"/>
          <w:sz w:val="24"/>
          <w:szCs w:val="24"/>
          <w:vertAlign w:val="superscript"/>
        </w:rPr>
        <w:t>92</w:t>
      </w:r>
      <w:r w:rsidRPr="007B6884">
        <w:rPr>
          <w:rFonts w:ascii="Times New Roman" w:eastAsia="Times New Roman" w:hAnsi="Times New Roman" w:cs="Times New Roman"/>
          <w:sz w:val="24"/>
          <w:szCs w:val="24"/>
        </w:rPr>
        <w:t xml:space="preserve">Zr, and the isotopic compositions of </w:t>
      </w:r>
      <w:proofErr w:type="spellStart"/>
      <w:r w:rsidRPr="007B6884">
        <w:rPr>
          <w:rFonts w:ascii="Times New Roman" w:eastAsia="Times New Roman" w:hAnsi="Times New Roman" w:cs="Times New Roman"/>
          <w:sz w:val="24"/>
          <w:szCs w:val="24"/>
        </w:rPr>
        <w:t>presolar</w:t>
      </w:r>
      <w:proofErr w:type="spellEnd"/>
      <w:r w:rsidRPr="007B6884">
        <w:rPr>
          <w:rFonts w:ascii="Times New Roman" w:eastAsia="Times New Roman" w:hAnsi="Times New Roman" w:cs="Times New Roman"/>
          <w:sz w:val="24"/>
          <w:szCs w:val="24"/>
        </w:rPr>
        <w:t xml:space="preserve"> </w:t>
      </w:r>
      <w:proofErr w:type="spellStart"/>
      <w:r w:rsidRPr="007B6884">
        <w:rPr>
          <w:rFonts w:ascii="Times New Roman" w:eastAsia="Times New Roman" w:hAnsi="Times New Roman" w:cs="Times New Roman"/>
          <w:sz w:val="24"/>
          <w:szCs w:val="24"/>
        </w:rPr>
        <w:t>SiC</w:t>
      </w:r>
      <w:proofErr w:type="spellEnd"/>
      <w:r w:rsidRPr="007B6884">
        <w:rPr>
          <w:rFonts w:ascii="Times New Roman" w:eastAsia="Times New Roman" w:hAnsi="Times New Roman" w:cs="Times New Roman"/>
          <w:sz w:val="24"/>
          <w:szCs w:val="24"/>
        </w:rPr>
        <w:t xml:space="preserve"> grains fall on the extension of the best-fit line defined by the leachates.</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Based on these</w:t>
      </w:r>
    </w:p>
    <w:p w:rsidR="007B6884" w:rsidRPr="007B6884" w:rsidRDefault="007B6884" w:rsidP="007B6884">
      <w:pPr>
        <w:spacing w:before="100" w:beforeAutospacing="1" w:after="100" w:afterAutospacing="1" w:line="240" w:lineRule="auto"/>
        <w:outlineLvl w:val="1"/>
        <w:rPr>
          <w:rFonts w:ascii="Times New Roman" w:eastAsia="Times New Roman" w:hAnsi="Times New Roman" w:cs="Times New Roman"/>
          <w:b/>
          <w:bCs/>
          <w:sz w:val="36"/>
          <w:szCs w:val="36"/>
        </w:rPr>
      </w:pPr>
      <w:r w:rsidRPr="007B6884">
        <w:rPr>
          <w:rFonts w:ascii="Times New Roman" w:eastAsia="Times New Roman" w:hAnsi="Times New Roman" w:cs="Times New Roman"/>
          <w:b/>
          <w:bCs/>
          <w:sz w:val="36"/>
          <w:szCs w:val="36"/>
        </w:rPr>
        <w:t>Acknowledgments</w:t>
      </w:r>
    </w:p>
    <w:p w:rsidR="007B6884" w:rsidRPr="007B6884" w:rsidRDefault="007B6884" w:rsidP="007B6884">
      <w:pPr>
        <w:spacing w:before="100" w:beforeAutospacing="1" w:after="100" w:afterAutospacing="1" w:line="240" w:lineRule="auto"/>
        <w:rPr>
          <w:rFonts w:ascii="Times New Roman" w:eastAsia="Times New Roman" w:hAnsi="Times New Roman" w:cs="Times New Roman"/>
          <w:sz w:val="24"/>
          <w:szCs w:val="24"/>
        </w:rPr>
      </w:pPr>
      <w:r w:rsidRPr="007B6884">
        <w:rPr>
          <w:rFonts w:ascii="Times New Roman" w:eastAsia="Times New Roman" w:hAnsi="Times New Roman" w:cs="Times New Roman"/>
          <w:sz w:val="24"/>
          <w:szCs w:val="24"/>
        </w:rPr>
        <w:t xml:space="preserve">We thank the Swiss National Science Foundation and ETH for support of this research, the Museum of Natural History in Paris for the provision of the sample of </w:t>
      </w:r>
      <w:proofErr w:type="spellStart"/>
      <w:r w:rsidRPr="007B6884">
        <w:rPr>
          <w:rFonts w:ascii="Times New Roman" w:eastAsia="Times New Roman" w:hAnsi="Times New Roman" w:cs="Times New Roman"/>
          <w:sz w:val="24"/>
          <w:szCs w:val="24"/>
        </w:rPr>
        <w:t>Orgueil</w:t>
      </w:r>
      <w:proofErr w:type="spellEnd"/>
      <w:r w:rsidRPr="007B6884">
        <w:rPr>
          <w:rFonts w:ascii="Times New Roman" w:eastAsia="Times New Roman" w:hAnsi="Times New Roman" w:cs="Times New Roman"/>
          <w:sz w:val="24"/>
          <w:szCs w:val="24"/>
        </w:rPr>
        <w:t xml:space="preserve"> and G. J. MacPherson for Allende (USNW-6159) and Murchison (USNW-5459). Furthermore, we wish to thank A.M. Davis, three anonymous reviewers, and the editor U. Ott, who helped to significantly improve this manuscript. We are also grateful for the reanalysis of some </w:t>
      </w:r>
      <w:proofErr w:type="spellStart"/>
      <w:r w:rsidRPr="007B6884">
        <w:rPr>
          <w:rFonts w:ascii="Times New Roman" w:eastAsia="Times New Roman" w:hAnsi="Times New Roman" w:cs="Times New Roman"/>
          <w:sz w:val="24"/>
          <w:szCs w:val="24"/>
        </w:rPr>
        <w:t>Zr</w:t>
      </w:r>
      <w:proofErr w:type="spellEnd"/>
      <w:r w:rsidRPr="007B6884">
        <w:rPr>
          <w:rFonts w:ascii="Times New Roman" w:eastAsia="Times New Roman" w:hAnsi="Times New Roman" w:cs="Times New Roman"/>
          <w:sz w:val="24"/>
          <w:szCs w:val="24"/>
        </w:rPr>
        <w:t xml:space="preserve"> data performed by F. </w:t>
      </w:r>
      <w:proofErr w:type="spellStart"/>
      <w:r w:rsidRPr="007B6884">
        <w:rPr>
          <w:rFonts w:ascii="Times New Roman" w:eastAsia="Times New Roman" w:hAnsi="Times New Roman" w:cs="Times New Roman"/>
          <w:sz w:val="24"/>
          <w:szCs w:val="24"/>
        </w:rPr>
        <w:t>Oberli</w:t>
      </w:r>
      <w:proofErr w:type="spellEnd"/>
      <w:r w:rsidRPr="007B6884">
        <w:rPr>
          <w:rFonts w:ascii="Times New Roman" w:eastAsia="Times New Roman" w:hAnsi="Times New Roman" w:cs="Times New Roman"/>
          <w:sz w:val="24"/>
          <w:szCs w:val="24"/>
        </w:rPr>
        <w:t>.</w:t>
      </w:r>
    </w:p>
    <w:p w:rsidR="008B2A47" w:rsidRDefault="008B2A47"/>
    <w:sectPr w:rsidR="008B2A47">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884"/>
    <w:rsid w:val="007B6884"/>
    <w:rsid w:val="008B2A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E14C9"/>
  <w15:chartTrackingRefBased/>
  <w15:docId w15:val="{510602E9-6345-452C-8926-EBED2F0BB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3311344">
      <w:bodyDiv w:val="1"/>
      <w:marLeft w:val="0"/>
      <w:marRight w:val="0"/>
      <w:marTop w:val="0"/>
      <w:marBottom w:val="0"/>
      <w:divBdr>
        <w:top w:val="none" w:sz="0" w:space="0" w:color="auto"/>
        <w:left w:val="none" w:sz="0" w:space="0" w:color="auto"/>
        <w:bottom w:val="none" w:sz="0" w:space="0" w:color="auto"/>
        <w:right w:val="none" w:sz="0" w:space="0" w:color="auto"/>
      </w:divBdr>
      <w:divsChild>
        <w:div w:id="44762867">
          <w:marLeft w:val="0"/>
          <w:marRight w:val="0"/>
          <w:marTop w:val="0"/>
          <w:marBottom w:val="0"/>
          <w:divBdr>
            <w:top w:val="none" w:sz="0" w:space="0" w:color="auto"/>
            <w:left w:val="none" w:sz="0" w:space="0" w:color="auto"/>
            <w:bottom w:val="none" w:sz="0" w:space="0" w:color="auto"/>
            <w:right w:val="none" w:sz="0" w:space="0" w:color="auto"/>
          </w:divBdr>
          <w:divsChild>
            <w:div w:id="1447651035">
              <w:marLeft w:val="0"/>
              <w:marRight w:val="0"/>
              <w:marTop w:val="0"/>
              <w:marBottom w:val="0"/>
              <w:divBdr>
                <w:top w:val="none" w:sz="0" w:space="0" w:color="auto"/>
                <w:left w:val="none" w:sz="0" w:space="0" w:color="auto"/>
                <w:bottom w:val="none" w:sz="0" w:space="0" w:color="auto"/>
                <w:right w:val="none" w:sz="0" w:space="0" w:color="auto"/>
              </w:divBdr>
              <w:divsChild>
                <w:div w:id="1695383086">
                  <w:marLeft w:val="0"/>
                  <w:marRight w:val="0"/>
                  <w:marTop w:val="0"/>
                  <w:marBottom w:val="0"/>
                  <w:divBdr>
                    <w:top w:val="none" w:sz="0" w:space="0" w:color="auto"/>
                    <w:left w:val="none" w:sz="0" w:space="0" w:color="auto"/>
                    <w:bottom w:val="none" w:sz="0" w:space="0" w:color="auto"/>
                    <w:right w:val="none" w:sz="0" w:space="0" w:color="auto"/>
                  </w:divBdr>
                  <w:divsChild>
                    <w:div w:id="154698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927448">
          <w:marLeft w:val="0"/>
          <w:marRight w:val="0"/>
          <w:marTop w:val="0"/>
          <w:marBottom w:val="0"/>
          <w:divBdr>
            <w:top w:val="none" w:sz="0" w:space="0" w:color="auto"/>
            <w:left w:val="none" w:sz="0" w:space="0" w:color="auto"/>
            <w:bottom w:val="none" w:sz="0" w:space="0" w:color="auto"/>
            <w:right w:val="none" w:sz="0" w:space="0" w:color="auto"/>
          </w:divBdr>
          <w:divsChild>
            <w:div w:id="159006716">
              <w:marLeft w:val="0"/>
              <w:marRight w:val="0"/>
              <w:marTop w:val="0"/>
              <w:marBottom w:val="0"/>
              <w:divBdr>
                <w:top w:val="none" w:sz="0" w:space="0" w:color="auto"/>
                <w:left w:val="none" w:sz="0" w:space="0" w:color="auto"/>
                <w:bottom w:val="none" w:sz="0" w:space="0" w:color="auto"/>
                <w:right w:val="none" w:sz="0" w:space="0" w:color="auto"/>
              </w:divBdr>
              <w:divsChild>
                <w:div w:id="2128695428">
                  <w:marLeft w:val="0"/>
                  <w:marRight w:val="0"/>
                  <w:marTop w:val="0"/>
                  <w:marBottom w:val="0"/>
                  <w:divBdr>
                    <w:top w:val="none" w:sz="0" w:space="0" w:color="auto"/>
                    <w:left w:val="none" w:sz="0" w:space="0" w:color="auto"/>
                    <w:bottom w:val="none" w:sz="0" w:space="0" w:color="auto"/>
                    <w:right w:val="none" w:sz="0" w:space="0" w:color="auto"/>
                  </w:divBdr>
                  <w:divsChild>
                    <w:div w:id="67430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66897">
          <w:marLeft w:val="0"/>
          <w:marRight w:val="0"/>
          <w:marTop w:val="0"/>
          <w:marBottom w:val="0"/>
          <w:divBdr>
            <w:top w:val="none" w:sz="0" w:space="0" w:color="auto"/>
            <w:left w:val="none" w:sz="0" w:space="0" w:color="auto"/>
            <w:bottom w:val="none" w:sz="0" w:space="0" w:color="auto"/>
            <w:right w:val="none" w:sz="0" w:space="0" w:color="auto"/>
          </w:divBdr>
          <w:divsChild>
            <w:div w:id="785543970">
              <w:marLeft w:val="0"/>
              <w:marRight w:val="0"/>
              <w:marTop w:val="0"/>
              <w:marBottom w:val="0"/>
              <w:divBdr>
                <w:top w:val="none" w:sz="0" w:space="0" w:color="auto"/>
                <w:left w:val="none" w:sz="0" w:space="0" w:color="auto"/>
                <w:bottom w:val="none" w:sz="0" w:space="0" w:color="auto"/>
                <w:right w:val="none" w:sz="0" w:space="0" w:color="auto"/>
              </w:divBdr>
            </w:div>
          </w:divsChild>
        </w:div>
        <w:div w:id="65881303">
          <w:marLeft w:val="0"/>
          <w:marRight w:val="0"/>
          <w:marTop w:val="0"/>
          <w:marBottom w:val="0"/>
          <w:divBdr>
            <w:top w:val="none" w:sz="0" w:space="0" w:color="auto"/>
            <w:left w:val="none" w:sz="0" w:space="0" w:color="auto"/>
            <w:bottom w:val="none" w:sz="0" w:space="0" w:color="auto"/>
            <w:right w:val="none" w:sz="0" w:space="0" w:color="auto"/>
          </w:divBdr>
          <w:divsChild>
            <w:div w:id="193536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carbonaceous-chondrite" TargetMode="External"/><Relationship Id="rId4" Type="http://schemas.openxmlformats.org/officeDocument/2006/relationships/hyperlink" Target="https://doi.org/10.1016/j.gca.2005.04.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1431</Words>
  <Characters>8162</Characters>
  <Application>Microsoft Office Word</Application>
  <DocSecurity>0</DocSecurity>
  <Lines>68</Lines>
  <Paragraphs>19</Paragraphs>
  <ScaleCrop>false</ScaleCrop>
  <Company/>
  <LinksUpToDate>false</LinksUpToDate>
  <CharactersWithSpaces>9574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2023-11-11T04:56:00Z</dcterms:created>
  <dcterms:modified xsi:type="dcterms:W3CDTF">2023-11-11T04:57:00Z</dcterms:modified>
</cp:coreProperties>
</file>