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E5C0E" w:rsidRPr="007E5C0E" w:rsidRDefault="007E5C0E" w:rsidP="007E5C0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E5C0E">
        <w:rPr>
          <w:rFonts w:ascii="Times New Roman" w:eastAsia="Times New Roman" w:hAnsi="Times New Roman" w:cs="Times New Roman"/>
          <w:b/>
          <w:bCs/>
          <w:kern w:val="36"/>
          <w:sz w:val="48"/>
          <w:szCs w:val="48"/>
        </w:rPr>
        <w:t>Controls on alkenone unsaturation ratios along the salinity gradient between the open ocean and the Baltic Sea</w:t>
      </w:r>
    </w:p>
    <w:p w:rsidR="007E5C0E" w:rsidRPr="007E5C0E" w:rsidRDefault="007E5C0E" w:rsidP="007E5C0E">
      <w:pPr>
        <w:spacing w:after="0"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Author links open overlay panel</w:t>
      </w:r>
    </w:p>
    <w:p w:rsidR="007E5C0E" w:rsidRPr="007E5C0E" w:rsidRDefault="007E5C0E" w:rsidP="007E5C0E">
      <w:pPr>
        <w:spacing w:after="0"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 , </w:t>
      </w:r>
    </w:p>
    <w:p w:rsidR="007E5C0E" w:rsidRPr="007E5C0E" w:rsidRDefault="007E5C0E" w:rsidP="007E5C0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E5C0E">
          <w:rPr>
            <w:rFonts w:ascii="Times New Roman" w:eastAsia="Times New Roman" w:hAnsi="Times New Roman" w:cs="Times New Roman"/>
            <w:color w:val="0000FF"/>
            <w:sz w:val="24"/>
            <w:szCs w:val="24"/>
            <w:u w:val="single"/>
          </w:rPr>
          <w:t>https://doi.org/10.1016/j.gca.2005.02.026</w:t>
        </w:r>
      </w:hyperlink>
      <w:bookmarkStart w:id="0" w:name="_GoBack"/>
      <w:bookmarkEnd w:id="0"/>
      <w:r w:rsidRPr="007E5C0E">
        <w:rPr>
          <w:rFonts w:ascii="Times New Roman" w:eastAsia="Times New Roman" w:hAnsi="Times New Roman" w:cs="Times New Roman"/>
          <w:sz w:val="24"/>
          <w:szCs w:val="24"/>
        </w:rPr>
        <w:t xml:space="preserve"> </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Abstract</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hyperlink r:id="rId5" w:tooltip="Learn more about Alkenone from ScienceDirect's AI-generated Topic Pages" w:history="1">
        <w:r w:rsidRPr="007E5C0E">
          <w:rPr>
            <w:rFonts w:ascii="Times New Roman" w:eastAsia="Times New Roman" w:hAnsi="Times New Roman" w:cs="Times New Roman"/>
            <w:color w:val="0000FF"/>
            <w:sz w:val="24"/>
            <w:szCs w:val="24"/>
            <w:u w:val="single"/>
          </w:rPr>
          <w:t>Alkenone</w:t>
        </w:r>
      </w:hyperlink>
      <w:r w:rsidRPr="007E5C0E">
        <w:rPr>
          <w:rFonts w:ascii="Times New Roman" w:eastAsia="Times New Roman" w:hAnsi="Times New Roman" w:cs="Times New Roman"/>
          <w:sz w:val="24"/>
          <w:szCs w:val="24"/>
        </w:rPr>
        <w:t xml:space="preserve"> unsaturation ratios of sedimentary lipids are used as a geochemical proxy for </w:t>
      </w:r>
      <w:hyperlink r:id="rId6" w:tooltip="Learn more about sea surface temperatures from ScienceDirect's AI-generated Topic Pages" w:history="1">
        <w:r w:rsidRPr="007E5C0E">
          <w:rPr>
            <w:rFonts w:ascii="Times New Roman" w:eastAsia="Times New Roman" w:hAnsi="Times New Roman" w:cs="Times New Roman"/>
            <w:color w:val="0000FF"/>
            <w:sz w:val="24"/>
            <w:szCs w:val="24"/>
            <w:u w:val="single"/>
          </w:rPr>
          <w:t>sea surface temperatures</w:t>
        </w:r>
      </w:hyperlink>
      <w:r w:rsidRPr="007E5C0E">
        <w:rPr>
          <w:rFonts w:ascii="Times New Roman" w:eastAsia="Times New Roman" w:hAnsi="Times New Roman" w:cs="Times New Roman"/>
          <w:sz w:val="24"/>
          <w:szCs w:val="24"/>
        </w:rPr>
        <w:t xml:space="preserve">, and interest is growing in their potential as indicators of different water masses and possibly of </w:t>
      </w:r>
      <w:hyperlink r:id="rId7" w:tooltip="Learn more about salinity from ScienceDirect's AI-generated Topic Pages" w:history="1">
        <w:r w:rsidRPr="007E5C0E">
          <w:rPr>
            <w:rFonts w:ascii="Times New Roman" w:eastAsia="Times New Roman" w:hAnsi="Times New Roman" w:cs="Times New Roman"/>
            <w:color w:val="0000FF"/>
            <w:sz w:val="24"/>
            <w:szCs w:val="24"/>
            <w:u w:val="single"/>
          </w:rPr>
          <w:t>salinity</w:t>
        </w:r>
      </w:hyperlink>
      <w:r w:rsidRPr="007E5C0E">
        <w:rPr>
          <w:rFonts w:ascii="Times New Roman" w:eastAsia="Times New Roman" w:hAnsi="Times New Roman" w:cs="Times New Roman"/>
          <w:sz w:val="24"/>
          <w:szCs w:val="24"/>
        </w:rPr>
        <w:t>. We analyzed the abundance of unsaturated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to C</w:t>
      </w:r>
      <w:r w:rsidRPr="007E5C0E">
        <w:rPr>
          <w:rFonts w:ascii="Times New Roman" w:eastAsia="Times New Roman" w:hAnsi="Times New Roman" w:cs="Times New Roman"/>
          <w:sz w:val="24"/>
          <w:szCs w:val="24"/>
          <w:vertAlign w:val="subscript"/>
        </w:rPr>
        <w:t>38</w:t>
      </w:r>
      <w:r w:rsidRPr="007E5C0E">
        <w:rPr>
          <w:rFonts w:ascii="Times New Roman" w:eastAsia="Times New Roman" w:hAnsi="Times New Roman" w:cs="Times New Roman"/>
          <w:sz w:val="24"/>
          <w:szCs w:val="24"/>
        </w:rPr>
        <w:t xml:space="preserve"> ketones in lipid extracts of 57 surface sediment (0–1 cm) samples along a salinity gradient from 8 to 33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 in the transition from the Skagerrak to the Baltic Sea (NW Europe). In addition to surface sediments, we analyzed alkenones in suspended particulate matter at 13 stations—over a gradient in salinity from 25 to 33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—during a bloom of the coccolithophore </w:t>
      </w:r>
      <w:proofErr w:type="spellStart"/>
      <w:r w:rsidRPr="007E5C0E">
        <w:rPr>
          <w:rFonts w:ascii="Times New Roman" w:eastAsia="Times New Roman" w:hAnsi="Times New Roman" w:cs="Times New Roman"/>
          <w:i/>
          <w:iCs/>
          <w:sz w:val="24"/>
          <w:szCs w:val="24"/>
        </w:rPr>
        <w:t>Emiliania</w:t>
      </w:r>
      <w:proofErr w:type="spellEnd"/>
      <w:r w:rsidRPr="007E5C0E">
        <w:rPr>
          <w:rFonts w:ascii="Times New Roman" w:eastAsia="Times New Roman" w:hAnsi="Times New Roman" w:cs="Times New Roman"/>
          <w:i/>
          <w:iCs/>
          <w:sz w:val="24"/>
          <w:szCs w:val="24"/>
        </w:rPr>
        <w:t xml:space="preserv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Alkenones were detected in all samples (suspended matter and sediment) with variable contributions of the tetra-unsaturated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alkenone compound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range from 2 to 10% of total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alkenone content). Comparing the alkenone unsaturation index (U</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vertAlign w:val="superscript"/>
        </w:rPr>
        <w:t>K′</w:t>
      </w:r>
      <w:r w:rsidRPr="007E5C0E">
        <w:rPr>
          <w:rFonts w:ascii="Times New Roman" w:eastAsia="Times New Roman" w:hAnsi="Times New Roman" w:cs="Times New Roman"/>
          <w:sz w:val="24"/>
          <w:szCs w:val="24"/>
        </w:rPr>
        <w:t>) and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data to climatological sea surface temperature and </w:t>
      </w:r>
      <w:hyperlink r:id="rId8" w:tooltip="Learn more about sea surface salinity from ScienceDirect's AI-generated Topic Pages" w:history="1">
        <w:r w:rsidRPr="007E5C0E">
          <w:rPr>
            <w:rFonts w:ascii="Times New Roman" w:eastAsia="Times New Roman" w:hAnsi="Times New Roman" w:cs="Times New Roman"/>
            <w:color w:val="0000FF"/>
            <w:sz w:val="24"/>
            <w:szCs w:val="24"/>
            <w:u w:val="single"/>
          </w:rPr>
          <w:t>sea surface salinity</w:t>
        </w:r>
      </w:hyperlink>
      <w:r w:rsidRPr="007E5C0E">
        <w:rPr>
          <w:rFonts w:ascii="Times New Roman" w:eastAsia="Times New Roman" w:hAnsi="Times New Roman" w:cs="Times New Roman"/>
          <w:sz w:val="24"/>
          <w:szCs w:val="24"/>
        </w:rPr>
        <w:t xml:space="preserve"> data sets revealed that SST estimated from U</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vertAlign w:val="superscript"/>
        </w:rPr>
        <w:t>K′</w:t>
      </w:r>
      <w:r w:rsidRPr="007E5C0E">
        <w:rPr>
          <w:rFonts w:ascii="Times New Roman" w:eastAsia="Times New Roman" w:hAnsi="Times New Roman" w:cs="Times New Roman"/>
          <w:sz w:val="24"/>
          <w:szCs w:val="24"/>
        </w:rPr>
        <w:t xml:space="preserve"> of saline end members (samples from the Skagerrak) is in the general range of modern SST during bloom periods of haptophytes. At salinities below </w:t>
      </w:r>
      <w:r w:rsidRPr="007E5C0E">
        <w:rPr>
          <w:rFonts w:ascii="Cambria Math" w:eastAsia="Times New Roman" w:hAnsi="Cambria Math" w:cs="Cambria Math"/>
          <w:sz w:val="24"/>
          <w:szCs w:val="24"/>
        </w:rPr>
        <w:t>∼</w:t>
      </w:r>
      <w:r w:rsidRPr="007E5C0E">
        <w:rPr>
          <w:rFonts w:ascii="Times New Roman" w:eastAsia="Times New Roman" w:hAnsi="Times New Roman" w:cs="Times New Roman"/>
          <w:sz w:val="24"/>
          <w:szCs w:val="24"/>
        </w:rPr>
        <w:t xml:space="preserve">30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increases to above 5% and the unsaturation ratios cease to be related to climatological annual or seasonal sea surface temperatures. On the other hand, the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appears to be inversely and significantly correlated to salinity: Highest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proportions in the inner Baltic Sea are caused by an unidentified organism, but in the transition area at salinities down to 10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 the producer apparently is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xml:space="preserve">. The suspended matter data together with those from the water </w:t>
      </w:r>
      <w:hyperlink r:id="rId9" w:tooltip="Learn more about column support from ScienceDirect's AI-generated Topic Pages" w:history="1">
        <w:r w:rsidRPr="007E5C0E">
          <w:rPr>
            <w:rFonts w:ascii="Times New Roman" w:eastAsia="Times New Roman" w:hAnsi="Times New Roman" w:cs="Times New Roman"/>
            <w:color w:val="0000FF"/>
            <w:sz w:val="24"/>
            <w:szCs w:val="24"/>
            <w:u w:val="single"/>
          </w:rPr>
          <w:t>column support</w:t>
        </w:r>
      </w:hyperlink>
      <w:r w:rsidRPr="007E5C0E">
        <w:rPr>
          <w:rFonts w:ascii="Times New Roman" w:eastAsia="Times New Roman" w:hAnsi="Times New Roman" w:cs="Times New Roman"/>
          <w:sz w:val="24"/>
          <w:szCs w:val="24"/>
        </w:rPr>
        <w:t xml:space="preserve"> the hypothesis of changing biosynthesis of alkenones under salt stress by the coccolithophore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i/>
          <w:iCs/>
          <w:sz w:val="24"/>
          <w:szCs w:val="24"/>
        </w:rPr>
        <w:t>,</w:t>
      </w:r>
      <w:r w:rsidRPr="007E5C0E">
        <w:rPr>
          <w:rFonts w:ascii="Times New Roman" w:eastAsia="Times New Roman" w:hAnsi="Times New Roman" w:cs="Times New Roman"/>
          <w:sz w:val="24"/>
          <w:szCs w:val="24"/>
        </w:rPr>
        <w:t xml:space="preserve"> but constrain the maximum of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attributable to salt stress to 10% of all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alkenones.</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Introduction</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Since the establishment of alkenone unsaturation ratios as proxy indicators of sea surface temperatures (e.g., Marlowe et al., 1984; </w:t>
      </w:r>
      <w:proofErr w:type="spellStart"/>
      <w:r w:rsidRPr="007E5C0E">
        <w:rPr>
          <w:rFonts w:ascii="Times New Roman" w:eastAsia="Times New Roman" w:hAnsi="Times New Roman" w:cs="Times New Roman"/>
          <w:sz w:val="24"/>
          <w:szCs w:val="24"/>
        </w:rPr>
        <w:t>Brassell</w:t>
      </w:r>
      <w:proofErr w:type="spellEnd"/>
      <w:r w:rsidRPr="007E5C0E">
        <w:rPr>
          <w:rFonts w:ascii="Times New Roman" w:eastAsia="Times New Roman" w:hAnsi="Times New Roman" w:cs="Times New Roman"/>
          <w:sz w:val="24"/>
          <w:szCs w:val="24"/>
        </w:rPr>
        <w:t xml:space="preserve"> et al., 1986; </w:t>
      </w:r>
      <w:proofErr w:type="spellStart"/>
      <w:r w:rsidRPr="007E5C0E">
        <w:rPr>
          <w:rFonts w:ascii="Times New Roman" w:eastAsia="Times New Roman" w:hAnsi="Times New Roman" w:cs="Times New Roman"/>
          <w:sz w:val="24"/>
          <w:szCs w:val="24"/>
        </w:rPr>
        <w:t>Prahl</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Wakeham</w:t>
      </w:r>
      <w:proofErr w:type="spellEnd"/>
      <w:r w:rsidRPr="007E5C0E">
        <w:rPr>
          <w:rFonts w:ascii="Times New Roman" w:eastAsia="Times New Roman" w:hAnsi="Times New Roman" w:cs="Times New Roman"/>
          <w:sz w:val="24"/>
          <w:szCs w:val="24"/>
        </w:rPr>
        <w:t xml:space="preserve">, 1987; </w:t>
      </w:r>
      <w:proofErr w:type="spellStart"/>
      <w:r w:rsidRPr="007E5C0E">
        <w:rPr>
          <w:rFonts w:ascii="Times New Roman" w:eastAsia="Times New Roman" w:hAnsi="Times New Roman" w:cs="Times New Roman"/>
          <w:sz w:val="24"/>
          <w:szCs w:val="24"/>
        </w:rPr>
        <w:t>Volkman</w:t>
      </w:r>
      <w:proofErr w:type="spellEnd"/>
      <w:r w:rsidRPr="007E5C0E">
        <w:rPr>
          <w:rFonts w:ascii="Times New Roman" w:eastAsia="Times New Roman" w:hAnsi="Times New Roman" w:cs="Times New Roman"/>
          <w:sz w:val="24"/>
          <w:szCs w:val="24"/>
        </w:rPr>
        <w:t xml:space="preserve"> et al., 1995; Müller et al., 1998), significant efforts have been made to find the principles which govern the contribution of the tetra-unsaturated 37-carbon methyl alkenone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to total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alkenone concentrations (expressed as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The original U</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vertAlign w:val="superscript"/>
        </w:rPr>
        <w:t>K</w:t>
      </w:r>
      <w:r w:rsidRPr="007E5C0E">
        <w:rPr>
          <w:rFonts w:ascii="Times New Roman" w:eastAsia="Times New Roman" w:hAnsi="Times New Roman" w:cs="Times New Roman"/>
          <w:sz w:val="24"/>
          <w:szCs w:val="24"/>
        </w:rPr>
        <w:t xml:space="preserve"> index was based on the relative abundance of </w:t>
      </w:r>
      <w:proofErr w:type="spellStart"/>
      <w:r w:rsidRPr="007E5C0E">
        <w:rPr>
          <w:rFonts w:ascii="Times New Roman" w:eastAsia="Times New Roman" w:hAnsi="Times New Roman" w:cs="Times New Roman"/>
          <w:sz w:val="24"/>
          <w:szCs w:val="24"/>
        </w:rPr>
        <w:t>diunsaturated</w:t>
      </w:r>
      <w:proofErr w:type="spellEnd"/>
      <w:r w:rsidRPr="007E5C0E">
        <w:rPr>
          <w:rFonts w:ascii="Times New Roman" w:eastAsia="Times New Roman" w:hAnsi="Times New Roman" w:cs="Times New Roman"/>
          <w:sz w:val="24"/>
          <w:szCs w:val="24"/>
        </w:rPr>
        <w:t xml:space="preserve"> (C</w:t>
      </w:r>
      <w:r w:rsidRPr="007E5C0E">
        <w:rPr>
          <w:rFonts w:ascii="Times New Roman" w:eastAsia="Times New Roman" w:hAnsi="Times New Roman" w:cs="Times New Roman"/>
          <w:sz w:val="24"/>
          <w:szCs w:val="24"/>
          <w:vertAlign w:val="subscript"/>
        </w:rPr>
        <w:t>37:2</w:t>
      </w:r>
      <w:r w:rsidRPr="007E5C0E">
        <w:rPr>
          <w:rFonts w:ascii="Times New Roman" w:eastAsia="Times New Roman" w:hAnsi="Times New Roman" w:cs="Times New Roman"/>
          <w:sz w:val="24"/>
          <w:szCs w:val="24"/>
        </w:rPr>
        <w:t xml:space="preserve">), </w:t>
      </w:r>
      <w:proofErr w:type="spellStart"/>
      <w:r w:rsidRPr="007E5C0E">
        <w:rPr>
          <w:rFonts w:ascii="Times New Roman" w:eastAsia="Times New Roman" w:hAnsi="Times New Roman" w:cs="Times New Roman"/>
          <w:sz w:val="24"/>
          <w:szCs w:val="24"/>
        </w:rPr>
        <w:t>triunsaturated</w:t>
      </w:r>
      <w:proofErr w:type="spellEnd"/>
      <w:r w:rsidRPr="007E5C0E">
        <w:rPr>
          <w:rFonts w:ascii="Times New Roman" w:eastAsia="Times New Roman" w:hAnsi="Times New Roman" w:cs="Times New Roman"/>
          <w:sz w:val="24"/>
          <w:szCs w:val="24"/>
        </w:rPr>
        <w:t xml:space="preserve"> (C</w:t>
      </w:r>
      <w:r w:rsidRPr="007E5C0E">
        <w:rPr>
          <w:rFonts w:ascii="Times New Roman" w:eastAsia="Times New Roman" w:hAnsi="Times New Roman" w:cs="Times New Roman"/>
          <w:sz w:val="24"/>
          <w:szCs w:val="24"/>
          <w:vertAlign w:val="subscript"/>
        </w:rPr>
        <w:t>37:3</w:t>
      </w:r>
      <w:r w:rsidRPr="007E5C0E">
        <w:rPr>
          <w:rFonts w:ascii="Times New Roman" w:eastAsia="Times New Roman" w:hAnsi="Times New Roman" w:cs="Times New Roman"/>
          <w:sz w:val="24"/>
          <w:szCs w:val="24"/>
        </w:rPr>
        <w:t>) and tetra-unsaturated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alkenones (</w:t>
      </w:r>
      <w:proofErr w:type="spellStart"/>
      <w:r w:rsidRPr="007E5C0E">
        <w:rPr>
          <w:rFonts w:ascii="Times New Roman" w:eastAsia="Times New Roman" w:hAnsi="Times New Roman" w:cs="Times New Roman"/>
          <w:sz w:val="24"/>
          <w:szCs w:val="24"/>
        </w:rPr>
        <w:t>Brassell</w:t>
      </w:r>
      <w:proofErr w:type="spellEnd"/>
      <w:r w:rsidRPr="007E5C0E">
        <w:rPr>
          <w:rFonts w:ascii="Times New Roman" w:eastAsia="Times New Roman" w:hAnsi="Times New Roman" w:cs="Times New Roman"/>
          <w:sz w:val="24"/>
          <w:szCs w:val="24"/>
        </w:rPr>
        <w:t xml:space="preserve"> et al., 1986) in a sample. </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Because the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alkenone is rarely detected in open sea sediments from low and mid latitudes, only the C</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rPr>
        <w:t xml:space="preserve"> alkenones with three and two </w:t>
      </w:r>
      <w:proofErr w:type="spellStart"/>
      <w:r w:rsidRPr="007E5C0E">
        <w:rPr>
          <w:rFonts w:ascii="Times New Roman" w:eastAsia="Times New Roman" w:hAnsi="Times New Roman" w:cs="Times New Roman"/>
          <w:sz w:val="24"/>
          <w:szCs w:val="24"/>
        </w:rPr>
        <w:t>unsaturations</w:t>
      </w:r>
      <w:proofErr w:type="spellEnd"/>
      <w:r w:rsidRPr="007E5C0E">
        <w:rPr>
          <w:rFonts w:ascii="Times New Roman" w:eastAsia="Times New Roman" w:hAnsi="Times New Roman" w:cs="Times New Roman"/>
          <w:sz w:val="24"/>
          <w:szCs w:val="24"/>
        </w:rPr>
        <w:t xml:space="preserve"> are usually considered for the calculation of the SST (</w:t>
      </w:r>
      <w:proofErr w:type="spellStart"/>
      <w:r w:rsidRPr="007E5C0E">
        <w:rPr>
          <w:rFonts w:ascii="Times New Roman" w:eastAsia="Times New Roman" w:hAnsi="Times New Roman" w:cs="Times New Roman"/>
          <w:sz w:val="24"/>
          <w:szCs w:val="24"/>
        </w:rPr>
        <w:t>Prahl</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Wakeham</w:t>
      </w:r>
      <w:proofErr w:type="spellEnd"/>
      <w:r w:rsidRPr="007E5C0E">
        <w:rPr>
          <w:rFonts w:ascii="Times New Roman" w:eastAsia="Times New Roman" w:hAnsi="Times New Roman" w:cs="Times New Roman"/>
          <w:sz w:val="24"/>
          <w:szCs w:val="24"/>
        </w:rPr>
        <w:t xml:space="preserve">, 1987): </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lastRenderedPageBreak/>
        <w:t xml:space="preserve">In this form it is widely applied as a proxy to reconstruct past sea surface temperatures (SST) in </w:t>
      </w:r>
      <w:proofErr w:type="spellStart"/>
      <w:r w:rsidRPr="007E5C0E">
        <w:rPr>
          <w:rFonts w:ascii="Times New Roman" w:eastAsia="Times New Roman" w:hAnsi="Times New Roman" w:cs="Times New Roman"/>
          <w:sz w:val="24"/>
          <w:szCs w:val="24"/>
        </w:rPr>
        <w:t>paleoceanographic</w:t>
      </w:r>
      <w:proofErr w:type="spellEnd"/>
      <w:r w:rsidRPr="007E5C0E">
        <w:rPr>
          <w:rFonts w:ascii="Times New Roman" w:eastAsia="Times New Roman" w:hAnsi="Times New Roman" w:cs="Times New Roman"/>
          <w:sz w:val="24"/>
          <w:szCs w:val="24"/>
        </w:rPr>
        <w:t xml:space="preserve"> studies of marine environments, using diverse calibrations to temperature based either on culture experiments (</w:t>
      </w:r>
      <w:proofErr w:type="spellStart"/>
      <w:r w:rsidRPr="007E5C0E">
        <w:rPr>
          <w:rFonts w:ascii="Times New Roman" w:eastAsia="Times New Roman" w:hAnsi="Times New Roman" w:cs="Times New Roman"/>
          <w:sz w:val="24"/>
          <w:szCs w:val="24"/>
        </w:rPr>
        <w:t>Prahl</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Wakeham</w:t>
      </w:r>
      <w:proofErr w:type="spellEnd"/>
      <w:r w:rsidRPr="007E5C0E">
        <w:rPr>
          <w:rFonts w:ascii="Times New Roman" w:eastAsia="Times New Roman" w:hAnsi="Times New Roman" w:cs="Times New Roman"/>
          <w:sz w:val="24"/>
          <w:szCs w:val="24"/>
        </w:rPr>
        <w:t xml:space="preserve">, 1987; </w:t>
      </w:r>
      <w:proofErr w:type="spellStart"/>
      <w:r w:rsidRPr="007E5C0E">
        <w:rPr>
          <w:rFonts w:ascii="Times New Roman" w:eastAsia="Times New Roman" w:hAnsi="Times New Roman" w:cs="Times New Roman"/>
          <w:sz w:val="24"/>
          <w:szCs w:val="24"/>
        </w:rPr>
        <w:t>Prahl</w:t>
      </w:r>
      <w:proofErr w:type="spellEnd"/>
      <w:r w:rsidRPr="007E5C0E">
        <w:rPr>
          <w:rFonts w:ascii="Times New Roman" w:eastAsia="Times New Roman" w:hAnsi="Times New Roman" w:cs="Times New Roman"/>
          <w:sz w:val="24"/>
          <w:szCs w:val="24"/>
        </w:rPr>
        <w:t xml:space="preserve"> et al., 1988; </w:t>
      </w:r>
      <w:proofErr w:type="spellStart"/>
      <w:r w:rsidRPr="007E5C0E">
        <w:rPr>
          <w:rFonts w:ascii="Times New Roman" w:eastAsia="Times New Roman" w:hAnsi="Times New Roman" w:cs="Times New Roman"/>
          <w:sz w:val="24"/>
          <w:szCs w:val="24"/>
        </w:rPr>
        <w:t>Volkman</w:t>
      </w:r>
      <w:proofErr w:type="spellEnd"/>
      <w:r w:rsidRPr="007E5C0E">
        <w:rPr>
          <w:rFonts w:ascii="Times New Roman" w:eastAsia="Times New Roman" w:hAnsi="Times New Roman" w:cs="Times New Roman"/>
          <w:sz w:val="24"/>
          <w:szCs w:val="24"/>
        </w:rPr>
        <w:t xml:space="preserve"> et al., 1995; Sawada et al., 1996), on calibration of core-top sediment ratios to climatological atlases (Sikes et al., 1991;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et al., 1995; </w:t>
      </w:r>
      <w:proofErr w:type="spellStart"/>
      <w:r w:rsidRPr="007E5C0E">
        <w:rPr>
          <w:rFonts w:ascii="Times New Roman" w:eastAsia="Times New Roman" w:hAnsi="Times New Roman" w:cs="Times New Roman"/>
          <w:sz w:val="24"/>
          <w:szCs w:val="24"/>
        </w:rPr>
        <w:t>Pelejero</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Grimalt</w:t>
      </w:r>
      <w:proofErr w:type="spellEnd"/>
      <w:r w:rsidRPr="007E5C0E">
        <w:rPr>
          <w:rFonts w:ascii="Times New Roman" w:eastAsia="Times New Roman" w:hAnsi="Times New Roman" w:cs="Times New Roman"/>
          <w:sz w:val="24"/>
          <w:szCs w:val="24"/>
        </w:rPr>
        <w:t xml:space="preserve">, 1997; </w:t>
      </w:r>
      <w:proofErr w:type="spellStart"/>
      <w:r w:rsidRPr="007E5C0E">
        <w:rPr>
          <w:rFonts w:ascii="Times New Roman" w:eastAsia="Times New Roman" w:hAnsi="Times New Roman" w:cs="Times New Roman"/>
          <w:sz w:val="24"/>
          <w:szCs w:val="24"/>
        </w:rPr>
        <w:t>Sonzogni</w:t>
      </w:r>
      <w:proofErr w:type="spellEnd"/>
      <w:r w:rsidRPr="007E5C0E">
        <w:rPr>
          <w:rFonts w:ascii="Times New Roman" w:eastAsia="Times New Roman" w:hAnsi="Times New Roman" w:cs="Times New Roman"/>
          <w:sz w:val="24"/>
          <w:szCs w:val="24"/>
        </w:rPr>
        <w:t xml:space="preserve"> et al 1997a, </w:t>
      </w:r>
      <w:proofErr w:type="spellStart"/>
      <w:r w:rsidRPr="007E5C0E">
        <w:rPr>
          <w:rFonts w:ascii="Times New Roman" w:eastAsia="Times New Roman" w:hAnsi="Times New Roman" w:cs="Times New Roman"/>
          <w:sz w:val="24"/>
          <w:szCs w:val="24"/>
        </w:rPr>
        <w:t>Sonzogni</w:t>
      </w:r>
      <w:proofErr w:type="spellEnd"/>
      <w:r w:rsidRPr="007E5C0E">
        <w:rPr>
          <w:rFonts w:ascii="Times New Roman" w:eastAsia="Times New Roman" w:hAnsi="Times New Roman" w:cs="Times New Roman"/>
          <w:sz w:val="24"/>
          <w:szCs w:val="24"/>
        </w:rPr>
        <w:t xml:space="preserve"> et al 1997b; Müller et al., 1998; </w:t>
      </w:r>
      <w:proofErr w:type="spellStart"/>
      <w:r w:rsidRPr="007E5C0E">
        <w:rPr>
          <w:rFonts w:ascii="Times New Roman" w:eastAsia="Times New Roman" w:hAnsi="Times New Roman" w:cs="Times New Roman"/>
          <w:sz w:val="24"/>
          <w:szCs w:val="24"/>
        </w:rPr>
        <w:t>Ternois</w:t>
      </w:r>
      <w:proofErr w:type="spellEnd"/>
      <w:r w:rsidRPr="007E5C0E">
        <w:rPr>
          <w:rFonts w:ascii="Times New Roman" w:eastAsia="Times New Roman" w:hAnsi="Times New Roman" w:cs="Times New Roman"/>
          <w:sz w:val="24"/>
          <w:szCs w:val="24"/>
        </w:rPr>
        <w:t xml:space="preserve"> et al., 2000), or by comparison of ratios in particulate matter (</w:t>
      </w:r>
      <w:proofErr w:type="spellStart"/>
      <w:r w:rsidRPr="007E5C0E">
        <w:rPr>
          <w:rFonts w:ascii="Times New Roman" w:eastAsia="Times New Roman" w:hAnsi="Times New Roman" w:cs="Times New Roman"/>
          <w:sz w:val="24"/>
          <w:szCs w:val="24"/>
        </w:rPr>
        <w:t>Prahl</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Wakeham</w:t>
      </w:r>
      <w:proofErr w:type="spellEnd"/>
      <w:r w:rsidRPr="007E5C0E">
        <w:rPr>
          <w:rFonts w:ascii="Times New Roman" w:eastAsia="Times New Roman" w:hAnsi="Times New Roman" w:cs="Times New Roman"/>
          <w:sz w:val="24"/>
          <w:szCs w:val="24"/>
        </w:rPr>
        <w:t xml:space="preserve">, 1987; Sikes et al., 1997; </w:t>
      </w:r>
      <w:proofErr w:type="spellStart"/>
      <w:r w:rsidRPr="007E5C0E">
        <w:rPr>
          <w:rFonts w:ascii="Times New Roman" w:eastAsia="Times New Roman" w:hAnsi="Times New Roman" w:cs="Times New Roman"/>
          <w:sz w:val="24"/>
          <w:szCs w:val="24"/>
        </w:rPr>
        <w:t>Gonńi</w:t>
      </w:r>
      <w:proofErr w:type="spellEnd"/>
      <w:r w:rsidRPr="007E5C0E">
        <w:rPr>
          <w:rFonts w:ascii="Times New Roman" w:eastAsia="Times New Roman" w:hAnsi="Times New Roman" w:cs="Times New Roman"/>
          <w:sz w:val="24"/>
          <w:szCs w:val="24"/>
        </w:rPr>
        <w:t xml:space="preserve"> et al., 2001; </w:t>
      </w:r>
      <w:proofErr w:type="spellStart"/>
      <w:r w:rsidRPr="007E5C0E">
        <w:rPr>
          <w:rFonts w:ascii="Times New Roman" w:eastAsia="Times New Roman" w:hAnsi="Times New Roman" w:cs="Times New Roman"/>
          <w:sz w:val="24"/>
          <w:szCs w:val="24"/>
        </w:rPr>
        <w:t>Sicre</w:t>
      </w:r>
      <w:proofErr w:type="spellEnd"/>
      <w:r w:rsidRPr="007E5C0E">
        <w:rPr>
          <w:rFonts w:ascii="Times New Roman" w:eastAsia="Times New Roman" w:hAnsi="Times New Roman" w:cs="Times New Roman"/>
          <w:sz w:val="24"/>
          <w:szCs w:val="24"/>
        </w:rPr>
        <w:t xml:space="preserve"> et al., 2002; Harada et al., 2003) to ambient temperature.</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Complications with U</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vertAlign w:val="superscript"/>
        </w:rPr>
        <w:t>K′</w:t>
      </w:r>
      <w:r w:rsidRPr="007E5C0E">
        <w:rPr>
          <w:rFonts w:ascii="Times New Roman" w:eastAsia="Times New Roman" w:hAnsi="Times New Roman" w:cs="Times New Roman"/>
          <w:sz w:val="24"/>
          <w:szCs w:val="24"/>
        </w:rPr>
        <w:t xml:space="preserve"> were found in the Nordic Seas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et al 1995,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et al 1998,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et al 2002; </w:t>
      </w:r>
      <w:proofErr w:type="spellStart"/>
      <w:r w:rsidRPr="007E5C0E">
        <w:rPr>
          <w:rFonts w:ascii="Times New Roman" w:eastAsia="Times New Roman" w:hAnsi="Times New Roman" w:cs="Times New Roman"/>
          <w:sz w:val="24"/>
          <w:szCs w:val="24"/>
        </w:rPr>
        <w:t>Bendle</w:t>
      </w:r>
      <w:proofErr w:type="spellEnd"/>
      <w:r w:rsidRPr="007E5C0E">
        <w:rPr>
          <w:rFonts w:ascii="Times New Roman" w:eastAsia="Times New Roman" w:hAnsi="Times New Roman" w:cs="Times New Roman"/>
          <w:sz w:val="24"/>
          <w:szCs w:val="24"/>
        </w:rPr>
        <w:t xml:space="preserve">, 2003; </w:t>
      </w:r>
      <w:proofErr w:type="spellStart"/>
      <w:r w:rsidRPr="007E5C0E">
        <w:rPr>
          <w:rFonts w:ascii="Times New Roman" w:eastAsia="Times New Roman" w:hAnsi="Times New Roman" w:cs="Times New Roman"/>
          <w:sz w:val="24"/>
          <w:szCs w:val="24"/>
        </w:rPr>
        <w:t>Bendle</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2004) and in some continental margin environments with significantly reduced salinity (Freeman and </w:t>
      </w:r>
      <w:proofErr w:type="spellStart"/>
      <w:r w:rsidRPr="007E5C0E">
        <w:rPr>
          <w:rFonts w:ascii="Times New Roman" w:eastAsia="Times New Roman" w:hAnsi="Times New Roman" w:cs="Times New Roman"/>
          <w:sz w:val="24"/>
          <w:szCs w:val="24"/>
        </w:rPr>
        <w:t>Wakeham</w:t>
      </w:r>
      <w:proofErr w:type="spellEnd"/>
      <w:r w:rsidRPr="007E5C0E">
        <w:rPr>
          <w:rFonts w:ascii="Times New Roman" w:eastAsia="Times New Roman" w:hAnsi="Times New Roman" w:cs="Times New Roman"/>
          <w:sz w:val="24"/>
          <w:szCs w:val="24"/>
        </w:rPr>
        <w:t xml:space="preserve">, 1992; Conte et al., 1994; </w:t>
      </w:r>
      <w:proofErr w:type="spellStart"/>
      <w:r w:rsidRPr="007E5C0E">
        <w:rPr>
          <w:rFonts w:ascii="Times New Roman" w:eastAsia="Times New Roman" w:hAnsi="Times New Roman" w:cs="Times New Roman"/>
          <w:sz w:val="24"/>
          <w:szCs w:val="24"/>
        </w:rPr>
        <w:t>Ficken</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Farrimond</w:t>
      </w:r>
      <w:proofErr w:type="spellEnd"/>
      <w:r w:rsidRPr="007E5C0E">
        <w:rPr>
          <w:rFonts w:ascii="Times New Roman" w:eastAsia="Times New Roman" w:hAnsi="Times New Roman" w:cs="Times New Roman"/>
          <w:sz w:val="24"/>
          <w:szCs w:val="24"/>
        </w:rPr>
        <w:t xml:space="preserve">, 1995; Schulz et al., 2000; </w:t>
      </w:r>
      <w:proofErr w:type="spellStart"/>
      <w:r w:rsidRPr="007E5C0E">
        <w:rPr>
          <w:rFonts w:ascii="Times New Roman" w:eastAsia="Times New Roman" w:hAnsi="Times New Roman" w:cs="Times New Roman"/>
          <w:sz w:val="24"/>
          <w:szCs w:val="24"/>
        </w:rPr>
        <w:t>Bendle</w:t>
      </w:r>
      <w:proofErr w:type="spellEnd"/>
      <w:r w:rsidRPr="007E5C0E">
        <w:rPr>
          <w:rFonts w:ascii="Times New Roman" w:eastAsia="Times New Roman" w:hAnsi="Times New Roman" w:cs="Times New Roman"/>
          <w:sz w:val="24"/>
          <w:szCs w:val="24"/>
        </w:rPr>
        <w:t>, 2003). Here the relationship of U</w:t>
      </w:r>
      <w:r w:rsidRPr="007E5C0E">
        <w:rPr>
          <w:rFonts w:ascii="Times New Roman" w:eastAsia="Times New Roman" w:hAnsi="Times New Roman" w:cs="Times New Roman"/>
          <w:sz w:val="24"/>
          <w:szCs w:val="24"/>
          <w:vertAlign w:val="subscript"/>
        </w:rPr>
        <w:t>37</w:t>
      </w:r>
      <w:r w:rsidRPr="007E5C0E">
        <w:rPr>
          <w:rFonts w:ascii="Times New Roman" w:eastAsia="Times New Roman" w:hAnsi="Times New Roman" w:cs="Times New Roman"/>
          <w:sz w:val="24"/>
          <w:szCs w:val="24"/>
          <w:vertAlign w:val="superscript"/>
        </w:rPr>
        <w:t>K′</w:t>
      </w:r>
      <w:r w:rsidRPr="007E5C0E">
        <w:rPr>
          <w:rFonts w:ascii="Times New Roman" w:eastAsia="Times New Roman" w:hAnsi="Times New Roman" w:cs="Times New Roman"/>
          <w:sz w:val="24"/>
          <w:szCs w:val="24"/>
        </w:rPr>
        <w:t xml:space="preserve"> to SST is either nonlinear or absent altogether, accompanied by an invariably high contribution of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(1998),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xml:space="preserve"> et al. (2002), and </w:t>
      </w:r>
      <w:proofErr w:type="spellStart"/>
      <w:r w:rsidRPr="007E5C0E">
        <w:rPr>
          <w:rFonts w:ascii="Times New Roman" w:eastAsia="Times New Roman" w:hAnsi="Times New Roman" w:cs="Times New Roman"/>
          <w:sz w:val="24"/>
          <w:szCs w:val="24"/>
        </w:rPr>
        <w:t>Sicre</w:t>
      </w:r>
      <w:proofErr w:type="spellEnd"/>
      <w:r w:rsidRPr="007E5C0E">
        <w:rPr>
          <w:rFonts w:ascii="Times New Roman" w:eastAsia="Times New Roman" w:hAnsi="Times New Roman" w:cs="Times New Roman"/>
          <w:sz w:val="24"/>
          <w:szCs w:val="24"/>
        </w:rPr>
        <w:t xml:space="preserve"> et al. (2002) suggested that salinity may have an influence on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in the North Atlantic. However, the slope of the salinity to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relationship of both suspended matter and surface sediment in the ocean varies widely, and all evidence suggests that there is no globally applicable linear relationship between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and salinity (</w:t>
      </w:r>
      <w:proofErr w:type="spellStart"/>
      <w:r w:rsidRPr="007E5C0E">
        <w:rPr>
          <w:rFonts w:ascii="Times New Roman" w:eastAsia="Times New Roman" w:hAnsi="Times New Roman" w:cs="Times New Roman"/>
          <w:sz w:val="24"/>
          <w:szCs w:val="24"/>
        </w:rPr>
        <w:t>Bendle</w:t>
      </w:r>
      <w:proofErr w:type="spellEnd"/>
      <w:r w:rsidRPr="007E5C0E">
        <w:rPr>
          <w:rFonts w:ascii="Times New Roman" w:eastAsia="Times New Roman" w:hAnsi="Times New Roman" w:cs="Times New Roman"/>
          <w:sz w:val="24"/>
          <w:szCs w:val="24"/>
        </w:rPr>
        <w:t>, 2003). Several studies suggest that elevated %C</w:t>
      </w:r>
      <w:r w:rsidRPr="007E5C0E">
        <w:rPr>
          <w:rFonts w:ascii="Times New Roman" w:eastAsia="Times New Roman" w:hAnsi="Times New Roman" w:cs="Times New Roman"/>
          <w:sz w:val="24"/>
          <w:szCs w:val="24"/>
          <w:vertAlign w:val="subscript"/>
        </w:rPr>
        <w:t>37:4</w:t>
      </w:r>
      <w:r w:rsidRPr="007E5C0E">
        <w:rPr>
          <w:rFonts w:ascii="Times New Roman" w:eastAsia="Times New Roman" w:hAnsi="Times New Roman" w:cs="Times New Roman"/>
          <w:sz w:val="24"/>
          <w:szCs w:val="24"/>
        </w:rPr>
        <w:t xml:space="preserve"> in continental margin environments may be an indicator for alkenone contributions from nonmarine haptophytes, or from genetically distinct populations of marginal marine taxa (Conte et al., 1998; Schulz et al., 2000; </w:t>
      </w:r>
      <w:proofErr w:type="spellStart"/>
      <w:r w:rsidRPr="007E5C0E">
        <w:rPr>
          <w:rFonts w:ascii="Times New Roman" w:eastAsia="Times New Roman" w:hAnsi="Times New Roman" w:cs="Times New Roman"/>
          <w:sz w:val="24"/>
          <w:szCs w:val="24"/>
        </w:rPr>
        <w:t>Bendle</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Rosell-Melé</w:t>
      </w:r>
      <w:proofErr w:type="spellEnd"/>
      <w:r w:rsidRPr="007E5C0E">
        <w:rPr>
          <w:rFonts w:ascii="Times New Roman" w:eastAsia="Times New Roman" w:hAnsi="Times New Roman" w:cs="Times New Roman"/>
          <w:sz w:val="24"/>
          <w:szCs w:val="24"/>
        </w:rPr>
        <w:t>, 2004)</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The aim of the present study was to investigate alkenone unsaturation patterns in surface sediments along a salinity gradient from marine conditions in the Skagerrak (33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 to the brackish conditions of the western Baltic Sea (8 </w:t>
      </w:r>
      <w:proofErr w:type="spellStart"/>
      <w:r w:rsidRPr="007E5C0E">
        <w:rPr>
          <w:rFonts w:ascii="Times New Roman" w:eastAsia="Times New Roman" w:hAnsi="Times New Roman" w:cs="Times New Roman"/>
          <w:sz w:val="24"/>
          <w:szCs w:val="24"/>
        </w:rPr>
        <w:t>psu</w:t>
      </w:r>
      <w:proofErr w:type="spellEnd"/>
      <w:r w:rsidRPr="007E5C0E">
        <w:rPr>
          <w:rFonts w:ascii="Times New Roman" w:eastAsia="Times New Roman" w:hAnsi="Times New Roman" w:cs="Times New Roman"/>
          <w:sz w:val="24"/>
          <w:szCs w:val="24"/>
        </w:rPr>
        <w:t xml:space="preserve">). The area is especially well suited to investigate links between salinity and alkenone ratios, because the regional variability in SST is small, whereas variability in salinity is large. To examine relationship between salinity and temperature and alkenone unsaturation, and to explore the reasons for changing alkenone patterns, we analyzed alkenones in 57 surface sediment samples in an area for which a highly resolved climatological database on conditions in the water column exists (Janssen et al., 1999). The transition between the brackish Baltic Sea and the open ocean has steep salinity gradients that express mixing ratios of fresh water with marine water, and thus may also be conducive to conservative mixing of different haptophyte populations—a marine population of </w:t>
      </w:r>
      <w:proofErr w:type="spellStart"/>
      <w:r w:rsidRPr="007E5C0E">
        <w:rPr>
          <w:rFonts w:ascii="Times New Roman" w:eastAsia="Times New Roman" w:hAnsi="Times New Roman" w:cs="Times New Roman"/>
          <w:i/>
          <w:iCs/>
          <w:sz w:val="24"/>
          <w:szCs w:val="24"/>
        </w:rPr>
        <w:t>Emiliania</w:t>
      </w:r>
      <w:proofErr w:type="spellEnd"/>
      <w:r w:rsidRPr="007E5C0E">
        <w:rPr>
          <w:rFonts w:ascii="Times New Roman" w:eastAsia="Times New Roman" w:hAnsi="Times New Roman" w:cs="Times New Roman"/>
          <w:i/>
          <w:iCs/>
          <w:sz w:val="24"/>
          <w:szCs w:val="24"/>
        </w:rPr>
        <w:t xml:space="preserv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xml:space="preserve"> and an unidentified Baltic Sea population with affinity to brackish or fresh water (Schulz et al., 2000). Massive blooms of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xml:space="preserve"> occur in the Skagerrak and Kattegat and we also analyzed alkenone unsaturation patterns in suspended matter samples of a large bloom of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xml:space="preserve"> that we were able to sample in June 2004. The data allow us to evaluate different hypotheses for changes in alkenone unsaturation ratios in continental margin settings, and serve as a control on the utility of alkenone unsaturation ratios as a proxy for past SST in the area.</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Section snippets</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Oceanographic setting</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The Baltic Sea is a land-locked epicontinental brackish water body with an estuarine circulation system. The excess freshwater inflow from rivers causes low-salinity surface water outflow from the Baltic Sea through the Danish straits (Sound and Belt Sea) and Kattegat to the Skagerrak/North Sea </w:t>
      </w:r>
      <w:r w:rsidRPr="007E5C0E">
        <w:rPr>
          <w:rFonts w:ascii="Times New Roman" w:eastAsia="Times New Roman" w:hAnsi="Times New Roman" w:cs="Times New Roman"/>
          <w:sz w:val="24"/>
          <w:szCs w:val="24"/>
        </w:rPr>
        <w:lastRenderedPageBreak/>
        <w:t>(Fig. 1A). The outflowing Baltic forms a brackish surface layer in the transition area with salinity increasing to 25–30 at the Skagerrak border due to mixing with saline bottom water. Saline Skagerrak</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Sediment and Suspended Matter Sampling</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Surface sediment was collected using box-corer and </w:t>
      </w:r>
      <w:proofErr w:type="spellStart"/>
      <w:r w:rsidRPr="007E5C0E">
        <w:rPr>
          <w:rFonts w:ascii="Times New Roman" w:eastAsia="Times New Roman" w:hAnsi="Times New Roman" w:cs="Times New Roman"/>
          <w:sz w:val="24"/>
          <w:szCs w:val="24"/>
        </w:rPr>
        <w:t>multicorer</w:t>
      </w:r>
      <w:proofErr w:type="spellEnd"/>
      <w:r w:rsidRPr="007E5C0E">
        <w:rPr>
          <w:rFonts w:ascii="Times New Roman" w:eastAsia="Times New Roman" w:hAnsi="Times New Roman" w:cs="Times New Roman"/>
          <w:sz w:val="24"/>
          <w:szCs w:val="24"/>
        </w:rPr>
        <w:t xml:space="preserve"> during three cruises of R/V </w:t>
      </w:r>
      <w:r w:rsidRPr="007E5C0E">
        <w:rPr>
          <w:rFonts w:ascii="Times New Roman" w:eastAsia="Times New Roman" w:hAnsi="Times New Roman" w:cs="Times New Roman"/>
          <w:i/>
          <w:iCs/>
          <w:sz w:val="24"/>
          <w:szCs w:val="24"/>
        </w:rPr>
        <w:t xml:space="preserve">Prof. Albrecht </w:t>
      </w:r>
      <w:proofErr w:type="spellStart"/>
      <w:r w:rsidRPr="007E5C0E">
        <w:rPr>
          <w:rFonts w:ascii="Times New Roman" w:eastAsia="Times New Roman" w:hAnsi="Times New Roman" w:cs="Times New Roman"/>
          <w:i/>
          <w:iCs/>
          <w:sz w:val="24"/>
          <w:szCs w:val="24"/>
        </w:rPr>
        <w:t>Penck</w:t>
      </w:r>
      <w:proofErr w:type="spellEnd"/>
      <w:r w:rsidRPr="007E5C0E">
        <w:rPr>
          <w:rFonts w:ascii="Times New Roman" w:eastAsia="Times New Roman" w:hAnsi="Times New Roman" w:cs="Times New Roman"/>
          <w:sz w:val="24"/>
          <w:szCs w:val="24"/>
        </w:rPr>
        <w:t xml:space="preserve"> (September 1998), R/V </w:t>
      </w:r>
      <w:proofErr w:type="spellStart"/>
      <w:r w:rsidRPr="007E5C0E">
        <w:rPr>
          <w:rFonts w:ascii="Times New Roman" w:eastAsia="Times New Roman" w:hAnsi="Times New Roman" w:cs="Times New Roman"/>
          <w:i/>
          <w:iCs/>
          <w:sz w:val="24"/>
          <w:szCs w:val="24"/>
        </w:rPr>
        <w:t>Alkor</w:t>
      </w:r>
      <w:proofErr w:type="spellEnd"/>
      <w:r w:rsidRPr="007E5C0E">
        <w:rPr>
          <w:rFonts w:ascii="Times New Roman" w:eastAsia="Times New Roman" w:hAnsi="Times New Roman" w:cs="Times New Roman"/>
          <w:sz w:val="24"/>
          <w:szCs w:val="24"/>
        </w:rPr>
        <w:t xml:space="preserve"> (May 2000) and R/V </w:t>
      </w:r>
      <w:r w:rsidRPr="007E5C0E">
        <w:rPr>
          <w:rFonts w:ascii="Times New Roman" w:eastAsia="Times New Roman" w:hAnsi="Times New Roman" w:cs="Times New Roman"/>
          <w:i/>
          <w:iCs/>
          <w:sz w:val="24"/>
          <w:szCs w:val="24"/>
        </w:rPr>
        <w:t>Poseidon</w:t>
      </w:r>
      <w:r w:rsidRPr="007E5C0E">
        <w:rPr>
          <w:rFonts w:ascii="Times New Roman" w:eastAsia="Times New Roman" w:hAnsi="Times New Roman" w:cs="Times New Roman"/>
          <w:sz w:val="24"/>
          <w:szCs w:val="24"/>
        </w:rPr>
        <w:t xml:space="preserve"> (January 2002) (Fig. 1B). Sampling locations of surface sediments are given in Table 1. For this work we used only the surface layer (0–1 cm) of the cores, which were stored in </w:t>
      </w:r>
      <w:proofErr w:type="spellStart"/>
      <w:r w:rsidRPr="007E5C0E">
        <w:rPr>
          <w:rFonts w:ascii="Times New Roman" w:eastAsia="Times New Roman" w:hAnsi="Times New Roman" w:cs="Times New Roman"/>
          <w:sz w:val="24"/>
          <w:szCs w:val="24"/>
        </w:rPr>
        <w:t>aluminium</w:t>
      </w:r>
      <w:proofErr w:type="spellEnd"/>
      <w:r w:rsidRPr="007E5C0E">
        <w:rPr>
          <w:rFonts w:ascii="Times New Roman" w:eastAsia="Times New Roman" w:hAnsi="Times New Roman" w:cs="Times New Roman"/>
          <w:sz w:val="24"/>
          <w:szCs w:val="24"/>
        </w:rPr>
        <w:t xml:space="preserve"> boxes at −20°C until analysis.</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During the cruise 40/04/13 of R/V </w:t>
      </w:r>
      <w:r w:rsidRPr="007E5C0E">
        <w:rPr>
          <w:rFonts w:ascii="Times New Roman" w:eastAsia="Times New Roman" w:hAnsi="Times New Roman" w:cs="Times New Roman"/>
          <w:i/>
          <w:iCs/>
          <w:sz w:val="24"/>
          <w:szCs w:val="24"/>
        </w:rPr>
        <w:t xml:space="preserve">Prof. Albrecht </w:t>
      </w:r>
      <w:proofErr w:type="spellStart"/>
      <w:r w:rsidRPr="007E5C0E">
        <w:rPr>
          <w:rFonts w:ascii="Times New Roman" w:eastAsia="Times New Roman" w:hAnsi="Times New Roman" w:cs="Times New Roman"/>
          <w:i/>
          <w:iCs/>
          <w:sz w:val="24"/>
          <w:szCs w:val="24"/>
        </w:rPr>
        <w:t>Penck</w:t>
      </w:r>
      <w:proofErr w:type="spellEnd"/>
      <w:r w:rsidRPr="007E5C0E">
        <w:rPr>
          <w:rFonts w:ascii="Times New Roman" w:eastAsia="Times New Roman" w:hAnsi="Times New Roman" w:cs="Times New Roman"/>
          <w:sz w:val="24"/>
          <w:szCs w:val="24"/>
        </w:rPr>
        <w:t xml:space="preserve"> in June 2004, we filtered 13 samples from collected from the </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Alkenone Properties of a Coccolithophore Bloom</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The Skagerrak and adjacent areas are known as sites of massive blooms of the coccolithophore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The first reports of such blooms and associated milky-turquoise waters came from fjords on the western coast of Norway (</w:t>
      </w:r>
      <w:proofErr w:type="spellStart"/>
      <w:r w:rsidRPr="007E5C0E">
        <w:rPr>
          <w:rFonts w:ascii="Times New Roman" w:eastAsia="Times New Roman" w:hAnsi="Times New Roman" w:cs="Times New Roman"/>
          <w:sz w:val="24"/>
          <w:szCs w:val="24"/>
        </w:rPr>
        <w:t>Birkenes</w:t>
      </w:r>
      <w:proofErr w:type="spellEnd"/>
      <w:r w:rsidRPr="007E5C0E">
        <w:rPr>
          <w:rFonts w:ascii="Times New Roman" w:eastAsia="Times New Roman" w:hAnsi="Times New Roman" w:cs="Times New Roman"/>
          <w:sz w:val="24"/>
          <w:szCs w:val="24"/>
        </w:rPr>
        <w:t xml:space="preserve"> and </w:t>
      </w:r>
      <w:proofErr w:type="spellStart"/>
      <w:r w:rsidRPr="007E5C0E">
        <w:rPr>
          <w:rFonts w:ascii="Times New Roman" w:eastAsia="Times New Roman" w:hAnsi="Times New Roman" w:cs="Times New Roman"/>
          <w:sz w:val="24"/>
          <w:szCs w:val="24"/>
        </w:rPr>
        <w:t>Braarud</w:t>
      </w:r>
      <w:proofErr w:type="spellEnd"/>
      <w:r w:rsidRPr="007E5C0E">
        <w:rPr>
          <w:rFonts w:ascii="Times New Roman" w:eastAsia="Times New Roman" w:hAnsi="Times New Roman" w:cs="Times New Roman"/>
          <w:sz w:val="24"/>
          <w:szCs w:val="24"/>
        </w:rPr>
        <w:t>, 1952; Berge, 1962) and were later described from the North Sea and Skagerrak (</w:t>
      </w:r>
      <w:proofErr w:type="spellStart"/>
      <w:r w:rsidRPr="007E5C0E">
        <w:rPr>
          <w:rFonts w:ascii="Times New Roman" w:eastAsia="Times New Roman" w:hAnsi="Times New Roman" w:cs="Times New Roman"/>
          <w:sz w:val="24"/>
          <w:szCs w:val="24"/>
        </w:rPr>
        <w:t>Holligan</w:t>
      </w:r>
      <w:proofErr w:type="spellEnd"/>
      <w:r w:rsidRPr="007E5C0E">
        <w:rPr>
          <w:rFonts w:ascii="Times New Roman" w:eastAsia="Times New Roman" w:hAnsi="Times New Roman" w:cs="Times New Roman"/>
          <w:sz w:val="24"/>
          <w:szCs w:val="24"/>
        </w:rPr>
        <w:t xml:space="preserve"> et al., 1989; van der Wal et al., 1995; Siegel and </w:t>
      </w:r>
      <w:proofErr w:type="spellStart"/>
      <w:r w:rsidRPr="007E5C0E">
        <w:rPr>
          <w:rFonts w:ascii="Times New Roman" w:eastAsia="Times New Roman" w:hAnsi="Times New Roman" w:cs="Times New Roman"/>
          <w:sz w:val="24"/>
          <w:szCs w:val="24"/>
        </w:rPr>
        <w:t>Gerth</w:t>
      </w:r>
      <w:proofErr w:type="spellEnd"/>
      <w:r w:rsidRPr="007E5C0E">
        <w:rPr>
          <w:rFonts w:ascii="Times New Roman" w:eastAsia="Times New Roman" w:hAnsi="Times New Roman" w:cs="Times New Roman"/>
          <w:sz w:val="24"/>
          <w:szCs w:val="24"/>
        </w:rPr>
        <w:t>, 2000). These blooms occur usually in early summer and are thought to be triggered by low phosphate</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Conclusions</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Suspended matter sampled during a coccolithophore bloom and surface sediments in the transition from the Baltic Sea to the open North Atlantic Ocean provide data that constrain the variability of alkenone unsaturation ratios of marine haptophytes under changed environmental conditions. Both composition of alkenones and the direct evidence from the bloom strongly suggest that </w:t>
      </w:r>
      <w:r w:rsidRPr="007E5C0E">
        <w:rPr>
          <w:rFonts w:ascii="Times New Roman" w:eastAsia="Times New Roman" w:hAnsi="Times New Roman" w:cs="Times New Roman"/>
          <w:i/>
          <w:iCs/>
          <w:sz w:val="24"/>
          <w:szCs w:val="24"/>
        </w:rPr>
        <w:t xml:space="preserve">E. </w:t>
      </w:r>
      <w:proofErr w:type="spellStart"/>
      <w:r w:rsidRPr="007E5C0E">
        <w:rPr>
          <w:rFonts w:ascii="Times New Roman" w:eastAsia="Times New Roman" w:hAnsi="Times New Roman" w:cs="Times New Roman"/>
          <w:i/>
          <w:iCs/>
          <w:sz w:val="24"/>
          <w:szCs w:val="24"/>
        </w:rPr>
        <w:t>huxleyi</w:t>
      </w:r>
      <w:proofErr w:type="spellEnd"/>
      <w:r w:rsidRPr="007E5C0E">
        <w:rPr>
          <w:rFonts w:ascii="Times New Roman" w:eastAsia="Times New Roman" w:hAnsi="Times New Roman" w:cs="Times New Roman"/>
          <w:sz w:val="24"/>
          <w:szCs w:val="24"/>
        </w:rPr>
        <w:t xml:space="preserve"> is the organism responsible for alkenones in the new sample set. The suspended matter data do show some</w:t>
      </w:r>
    </w:p>
    <w:p w:rsidR="007E5C0E" w:rsidRPr="007E5C0E" w:rsidRDefault="007E5C0E" w:rsidP="007E5C0E">
      <w:pPr>
        <w:spacing w:before="100" w:beforeAutospacing="1" w:after="100" w:afterAutospacing="1" w:line="240" w:lineRule="auto"/>
        <w:outlineLvl w:val="1"/>
        <w:rPr>
          <w:rFonts w:ascii="Times New Roman" w:eastAsia="Times New Roman" w:hAnsi="Times New Roman" w:cs="Times New Roman"/>
          <w:b/>
          <w:bCs/>
          <w:sz w:val="36"/>
          <w:szCs w:val="36"/>
        </w:rPr>
      </w:pPr>
      <w:r w:rsidRPr="007E5C0E">
        <w:rPr>
          <w:rFonts w:ascii="Times New Roman" w:eastAsia="Times New Roman" w:hAnsi="Times New Roman" w:cs="Times New Roman"/>
          <w:b/>
          <w:bCs/>
          <w:sz w:val="36"/>
          <w:szCs w:val="36"/>
        </w:rPr>
        <w:t>Acknowledgments</w:t>
      </w:r>
    </w:p>
    <w:p w:rsidR="007E5C0E" w:rsidRPr="007E5C0E" w:rsidRDefault="007E5C0E" w:rsidP="007E5C0E">
      <w:pPr>
        <w:spacing w:before="100" w:beforeAutospacing="1" w:after="100" w:afterAutospacing="1" w:line="240" w:lineRule="auto"/>
        <w:rPr>
          <w:rFonts w:ascii="Times New Roman" w:eastAsia="Times New Roman" w:hAnsi="Times New Roman" w:cs="Times New Roman"/>
          <w:sz w:val="24"/>
          <w:szCs w:val="24"/>
        </w:rPr>
      </w:pPr>
      <w:r w:rsidRPr="007E5C0E">
        <w:rPr>
          <w:rFonts w:ascii="Times New Roman" w:eastAsia="Times New Roman" w:hAnsi="Times New Roman" w:cs="Times New Roman"/>
          <w:sz w:val="24"/>
          <w:szCs w:val="24"/>
        </w:rPr>
        <w:t xml:space="preserve">This study was initiated as part of the project “Natural Climate Variations from 10,000 Years to the Present Day” and was further funded by the German </w:t>
      </w:r>
      <w:proofErr w:type="spellStart"/>
      <w:r w:rsidRPr="007E5C0E">
        <w:rPr>
          <w:rFonts w:ascii="Times New Roman" w:eastAsia="Times New Roman" w:hAnsi="Times New Roman" w:cs="Times New Roman"/>
          <w:sz w:val="24"/>
          <w:szCs w:val="24"/>
        </w:rPr>
        <w:t>Bundesministerium</w:t>
      </w:r>
      <w:proofErr w:type="spellEnd"/>
      <w:r w:rsidRPr="007E5C0E">
        <w:rPr>
          <w:rFonts w:ascii="Times New Roman" w:eastAsia="Times New Roman" w:hAnsi="Times New Roman" w:cs="Times New Roman"/>
          <w:sz w:val="24"/>
          <w:szCs w:val="24"/>
        </w:rPr>
        <w:t xml:space="preserve"> </w:t>
      </w:r>
      <w:proofErr w:type="spellStart"/>
      <w:r w:rsidRPr="007E5C0E">
        <w:rPr>
          <w:rFonts w:ascii="Times New Roman" w:eastAsia="Times New Roman" w:hAnsi="Times New Roman" w:cs="Times New Roman"/>
          <w:sz w:val="24"/>
          <w:szCs w:val="24"/>
        </w:rPr>
        <w:t>für</w:t>
      </w:r>
      <w:proofErr w:type="spellEnd"/>
      <w:r w:rsidRPr="007E5C0E">
        <w:rPr>
          <w:rFonts w:ascii="Times New Roman" w:eastAsia="Times New Roman" w:hAnsi="Times New Roman" w:cs="Times New Roman"/>
          <w:sz w:val="24"/>
          <w:szCs w:val="24"/>
        </w:rPr>
        <w:t xml:space="preserve"> </w:t>
      </w:r>
      <w:proofErr w:type="spellStart"/>
      <w:r w:rsidRPr="007E5C0E">
        <w:rPr>
          <w:rFonts w:ascii="Times New Roman" w:eastAsia="Times New Roman" w:hAnsi="Times New Roman" w:cs="Times New Roman"/>
          <w:sz w:val="24"/>
          <w:szCs w:val="24"/>
        </w:rPr>
        <w:t>Bildung</w:t>
      </w:r>
      <w:proofErr w:type="spellEnd"/>
      <w:r w:rsidRPr="007E5C0E">
        <w:rPr>
          <w:rFonts w:ascii="Times New Roman" w:eastAsia="Times New Roman" w:hAnsi="Times New Roman" w:cs="Times New Roman"/>
          <w:sz w:val="24"/>
          <w:szCs w:val="24"/>
        </w:rPr>
        <w:t xml:space="preserve"> und </w:t>
      </w:r>
      <w:proofErr w:type="spellStart"/>
      <w:r w:rsidRPr="007E5C0E">
        <w:rPr>
          <w:rFonts w:ascii="Times New Roman" w:eastAsia="Times New Roman" w:hAnsi="Times New Roman" w:cs="Times New Roman"/>
          <w:sz w:val="24"/>
          <w:szCs w:val="24"/>
        </w:rPr>
        <w:t>Forschung</w:t>
      </w:r>
      <w:proofErr w:type="spellEnd"/>
      <w:r w:rsidRPr="007E5C0E">
        <w:rPr>
          <w:rFonts w:ascii="Times New Roman" w:eastAsia="Times New Roman" w:hAnsi="Times New Roman" w:cs="Times New Roman"/>
          <w:sz w:val="24"/>
          <w:szCs w:val="24"/>
        </w:rPr>
        <w:t xml:space="preserve"> (BMBF) as part of DEKLIM under contract 01LD0046 (IBSEN). The authors thank Michael Schulz for the introduction to </w:t>
      </w:r>
      <w:proofErr w:type="spellStart"/>
      <w:r w:rsidRPr="007E5C0E">
        <w:rPr>
          <w:rFonts w:ascii="Times New Roman" w:eastAsia="Times New Roman" w:hAnsi="Times New Roman" w:cs="Times New Roman"/>
          <w:sz w:val="24"/>
          <w:szCs w:val="24"/>
        </w:rPr>
        <w:t>PeakFitter</w:t>
      </w:r>
      <w:proofErr w:type="spellEnd"/>
      <w:r w:rsidRPr="007E5C0E">
        <w:rPr>
          <w:rFonts w:ascii="Times New Roman" w:eastAsia="Times New Roman" w:hAnsi="Times New Roman" w:cs="Times New Roman"/>
          <w:sz w:val="24"/>
          <w:szCs w:val="24"/>
        </w:rPr>
        <w:t xml:space="preserve">. The captains and their crews of R/V </w:t>
      </w:r>
      <w:r w:rsidRPr="007E5C0E">
        <w:rPr>
          <w:rFonts w:ascii="Times New Roman" w:eastAsia="Times New Roman" w:hAnsi="Times New Roman" w:cs="Times New Roman"/>
          <w:i/>
          <w:iCs/>
          <w:sz w:val="24"/>
          <w:szCs w:val="24"/>
        </w:rPr>
        <w:t xml:space="preserve">Prof. Albrecht </w:t>
      </w:r>
      <w:proofErr w:type="spellStart"/>
      <w:r w:rsidRPr="007E5C0E">
        <w:rPr>
          <w:rFonts w:ascii="Times New Roman" w:eastAsia="Times New Roman" w:hAnsi="Times New Roman" w:cs="Times New Roman"/>
          <w:i/>
          <w:iCs/>
          <w:sz w:val="24"/>
          <w:szCs w:val="24"/>
        </w:rPr>
        <w:t>Penck</w:t>
      </w:r>
      <w:proofErr w:type="spellEnd"/>
      <w:r w:rsidRPr="007E5C0E">
        <w:rPr>
          <w:rFonts w:ascii="Times New Roman" w:eastAsia="Times New Roman" w:hAnsi="Times New Roman" w:cs="Times New Roman"/>
          <w:i/>
          <w:iCs/>
          <w:sz w:val="24"/>
          <w:szCs w:val="24"/>
        </w:rPr>
        <w:t>,</w:t>
      </w:r>
      <w:r w:rsidRPr="007E5C0E">
        <w:rPr>
          <w:rFonts w:ascii="Times New Roman" w:eastAsia="Times New Roman" w:hAnsi="Times New Roman" w:cs="Times New Roman"/>
          <w:sz w:val="24"/>
          <w:szCs w:val="24"/>
        </w:rPr>
        <w:t xml:space="preserve"> R/V </w:t>
      </w:r>
      <w:proofErr w:type="spellStart"/>
      <w:r w:rsidRPr="007E5C0E">
        <w:rPr>
          <w:rFonts w:ascii="Times New Roman" w:eastAsia="Times New Roman" w:hAnsi="Times New Roman" w:cs="Times New Roman"/>
          <w:i/>
          <w:iCs/>
          <w:sz w:val="24"/>
          <w:szCs w:val="24"/>
        </w:rPr>
        <w:t>Alkor</w:t>
      </w:r>
      <w:proofErr w:type="spellEnd"/>
      <w:r w:rsidRPr="007E5C0E">
        <w:rPr>
          <w:rFonts w:ascii="Times New Roman" w:eastAsia="Times New Roman" w:hAnsi="Times New Roman" w:cs="Times New Roman"/>
          <w:sz w:val="24"/>
          <w:szCs w:val="24"/>
        </w:rPr>
        <w:t xml:space="preserve"> and R/V </w:t>
      </w:r>
      <w:r w:rsidRPr="007E5C0E">
        <w:rPr>
          <w:rFonts w:ascii="Times New Roman" w:eastAsia="Times New Roman" w:hAnsi="Times New Roman" w:cs="Times New Roman"/>
          <w:i/>
          <w:iCs/>
          <w:sz w:val="24"/>
          <w:szCs w:val="24"/>
        </w:rPr>
        <w:t>Poseidon</w:t>
      </w:r>
      <w:r w:rsidRPr="007E5C0E">
        <w:rPr>
          <w:rFonts w:ascii="Times New Roman" w:eastAsia="Times New Roman" w:hAnsi="Times New Roman" w:cs="Times New Roman"/>
          <w:sz w:val="24"/>
          <w:szCs w:val="24"/>
        </w:rPr>
        <w:t xml:space="preserve"> provided perfect working conditions during the sampling phase.</w:t>
      </w:r>
    </w:p>
    <w:p w:rsidR="00583AC8" w:rsidRDefault="00583AC8"/>
    <w:sectPr w:rsidR="00583AC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5C0E"/>
    <w:rsid w:val="00583AC8"/>
    <w:rsid w:val="007E5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E2557"/>
  <w15:chartTrackingRefBased/>
  <w15:docId w15:val="{27F9B7D7-B617-48BA-9580-9234DCD00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8296408">
      <w:bodyDiv w:val="1"/>
      <w:marLeft w:val="0"/>
      <w:marRight w:val="0"/>
      <w:marTop w:val="0"/>
      <w:marBottom w:val="0"/>
      <w:divBdr>
        <w:top w:val="none" w:sz="0" w:space="0" w:color="auto"/>
        <w:left w:val="none" w:sz="0" w:space="0" w:color="auto"/>
        <w:bottom w:val="none" w:sz="0" w:space="0" w:color="auto"/>
        <w:right w:val="none" w:sz="0" w:space="0" w:color="auto"/>
      </w:divBdr>
      <w:divsChild>
        <w:div w:id="1975404950">
          <w:marLeft w:val="0"/>
          <w:marRight w:val="0"/>
          <w:marTop w:val="0"/>
          <w:marBottom w:val="0"/>
          <w:divBdr>
            <w:top w:val="none" w:sz="0" w:space="0" w:color="auto"/>
            <w:left w:val="none" w:sz="0" w:space="0" w:color="auto"/>
            <w:bottom w:val="none" w:sz="0" w:space="0" w:color="auto"/>
            <w:right w:val="none" w:sz="0" w:space="0" w:color="auto"/>
          </w:divBdr>
          <w:divsChild>
            <w:div w:id="1361859323">
              <w:marLeft w:val="0"/>
              <w:marRight w:val="0"/>
              <w:marTop w:val="0"/>
              <w:marBottom w:val="0"/>
              <w:divBdr>
                <w:top w:val="none" w:sz="0" w:space="0" w:color="auto"/>
                <w:left w:val="none" w:sz="0" w:space="0" w:color="auto"/>
                <w:bottom w:val="none" w:sz="0" w:space="0" w:color="auto"/>
                <w:right w:val="none" w:sz="0" w:space="0" w:color="auto"/>
              </w:divBdr>
              <w:divsChild>
                <w:div w:id="1106536017">
                  <w:marLeft w:val="0"/>
                  <w:marRight w:val="0"/>
                  <w:marTop w:val="0"/>
                  <w:marBottom w:val="0"/>
                  <w:divBdr>
                    <w:top w:val="none" w:sz="0" w:space="0" w:color="auto"/>
                    <w:left w:val="none" w:sz="0" w:space="0" w:color="auto"/>
                    <w:bottom w:val="none" w:sz="0" w:space="0" w:color="auto"/>
                    <w:right w:val="none" w:sz="0" w:space="0" w:color="auto"/>
                  </w:divBdr>
                  <w:divsChild>
                    <w:div w:id="196091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199711">
          <w:marLeft w:val="0"/>
          <w:marRight w:val="0"/>
          <w:marTop w:val="0"/>
          <w:marBottom w:val="0"/>
          <w:divBdr>
            <w:top w:val="none" w:sz="0" w:space="0" w:color="auto"/>
            <w:left w:val="none" w:sz="0" w:space="0" w:color="auto"/>
            <w:bottom w:val="none" w:sz="0" w:space="0" w:color="auto"/>
            <w:right w:val="none" w:sz="0" w:space="0" w:color="auto"/>
          </w:divBdr>
          <w:divsChild>
            <w:div w:id="1528564957">
              <w:marLeft w:val="0"/>
              <w:marRight w:val="0"/>
              <w:marTop w:val="0"/>
              <w:marBottom w:val="0"/>
              <w:divBdr>
                <w:top w:val="none" w:sz="0" w:space="0" w:color="auto"/>
                <w:left w:val="none" w:sz="0" w:space="0" w:color="auto"/>
                <w:bottom w:val="none" w:sz="0" w:space="0" w:color="auto"/>
                <w:right w:val="none" w:sz="0" w:space="0" w:color="auto"/>
              </w:divBdr>
              <w:divsChild>
                <w:div w:id="2009365458">
                  <w:marLeft w:val="0"/>
                  <w:marRight w:val="0"/>
                  <w:marTop w:val="0"/>
                  <w:marBottom w:val="0"/>
                  <w:divBdr>
                    <w:top w:val="none" w:sz="0" w:space="0" w:color="auto"/>
                    <w:left w:val="none" w:sz="0" w:space="0" w:color="auto"/>
                    <w:bottom w:val="none" w:sz="0" w:space="0" w:color="auto"/>
                    <w:right w:val="none" w:sz="0" w:space="0" w:color="auto"/>
                  </w:divBdr>
                  <w:divsChild>
                    <w:div w:id="27368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630134">
          <w:marLeft w:val="0"/>
          <w:marRight w:val="0"/>
          <w:marTop w:val="0"/>
          <w:marBottom w:val="0"/>
          <w:divBdr>
            <w:top w:val="none" w:sz="0" w:space="0" w:color="auto"/>
            <w:left w:val="none" w:sz="0" w:space="0" w:color="auto"/>
            <w:bottom w:val="none" w:sz="0" w:space="0" w:color="auto"/>
            <w:right w:val="none" w:sz="0" w:space="0" w:color="auto"/>
          </w:divBdr>
          <w:divsChild>
            <w:div w:id="1214611236">
              <w:marLeft w:val="0"/>
              <w:marRight w:val="0"/>
              <w:marTop w:val="0"/>
              <w:marBottom w:val="0"/>
              <w:divBdr>
                <w:top w:val="none" w:sz="0" w:space="0" w:color="auto"/>
                <w:left w:val="none" w:sz="0" w:space="0" w:color="auto"/>
                <w:bottom w:val="none" w:sz="0" w:space="0" w:color="auto"/>
                <w:right w:val="none" w:sz="0" w:space="0" w:color="auto"/>
              </w:divBdr>
            </w:div>
          </w:divsChild>
        </w:div>
        <w:div w:id="1469013567">
          <w:marLeft w:val="0"/>
          <w:marRight w:val="0"/>
          <w:marTop w:val="0"/>
          <w:marBottom w:val="0"/>
          <w:divBdr>
            <w:top w:val="none" w:sz="0" w:space="0" w:color="auto"/>
            <w:left w:val="none" w:sz="0" w:space="0" w:color="auto"/>
            <w:bottom w:val="none" w:sz="0" w:space="0" w:color="auto"/>
            <w:right w:val="none" w:sz="0" w:space="0" w:color="auto"/>
          </w:divBdr>
          <w:divsChild>
            <w:div w:id="587808421">
              <w:marLeft w:val="0"/>
              <w:marRight w:val="0"/>
              <w:marTop w:val="0"/>
              <w:marBottom w:val="0"/>
              <w:divBdr>
                <w:top w:val="none" w:sz="0" w:space="0" w:color="auto"/>
                <w:left w:val="none" w:sz="0" w:space="0" w:color="auto"/>
                <w:bottom w:val="none" w:sz="0" w:space="0" w:color="auto"/>
                <w:right w:val="none" w:sz="0" w:space="0" w:color="auto"/>
              </w:divBdr>
            </w:div>
          </w:divsChild>
        </w:div>
        <w:div w:id="2074310371">
          <w:marLeft w:val="0"/>
          <w:marRight w:val="0"/>
          <w:marTop w:val="0"/>
          <w:marBottom w:val="0"/>
          <w:divBdr>
            <w:top w:val="none" w:sz="0" w:space="0" w:color="auto"/>
            <w:left w:val="none" w:sz="0" w:space="0" w:color="auto"/>
            <w:bottom w:val="none" w:sz="0" w:space="0" w:color="auto"/>
            <w:right w:val="none" w:sz="0" w:space="0" w:color="auto"/>
          </w:divBdr>
          <w:divsChild>
            <w:div w:id="84883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sea-surface-salinity"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salinit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ea-surface-temperatur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alkenone" TargetMode="External"/><Relationship Id="rId10" Type="http://schemas.openxmlformats.org/officeDocument/2006/relationships/fontTable" Target="fontTable.xml"/><Relationship Id="rId4" Type="http://schemas.openxmlformats.org/officeDocument/2006/relationships/hyperlink" Target="https://doi.org/10.1016/j.gca.2005.02.026" TargetMode="External"/><Relationship Id="rId9" Type="http://schemas.openxmlformats.org/officeDocument/2006/relationships/hyperlink" Target="https://www.sciencedirect.com/topics/earth-and-planetary-sciences/columns-suppor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1511</Words>
  <Characters>8616</Characters>
  <Application>Microsoft Office Word</Application>
  <DocSecurity>0</DocSecurity>
  <Lines>71</Lines>
  <Paragraphs>20</Paragraphs>
  <ScaleCrop>false</ScaleCrop>
  <Company/>
  <LinksUpToDate>false</LinksUpToDate>
  <CharactersWithSpaces>10107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2023-11-18T07:30:00Z</dcterms:created>
  <dcterms:modified xsi:type="dcterms:W3CDTF">2023-11-18T07:31:00Z</dcterms:modified>
</cp:coreProperties>
</file>