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EF28E1" w:rsidRPr="00EF28E1" w:rsidRDefault="00EF28E1" w:rsidP="00EF28E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EF28E1">
        <w:rPr>
          <w:rFonts w:ascii="Times New Roman" w:eastAsia="Times New Roman" w:hAnsi="Times New Roman" w:cs="Times New Roman"/>
          <w:b/>
          <w:bCs/>
          <w:kern w:val="36"/>
          <w:sz w:val="48"/>
          <w:szCs w:val="48"/>
        </w:rPr>
        <w:t>Prediction of CH</w:t>
      </w:r>
      <w:r w:rsidRPr="00EF28E1">
        <w:rPr>
          <w:rFonts w:ascii="Times New Roman" w:eastAsia="Times New Roman" w:hAnsi="Times New Roman" w:cs="Times New Roman"/>
          <w:b/>
          <w:bCs/>
          <w:kern w:val="36"/>
          <w:sz w:val="48"/>
          <w:szCs w:val="48"/>
          <w:vertAlign w:val="subscript"/>
        </w:rPr>
        <w:t>4</w:t>
      </w:r>
      <w:r w:rsidRPr="00EF28E1">
        <w:rPr>
          <w:rFonts w:ascii="Times New Roman" w:eastAsia="Times New Roman" w:hAnsi="Times New Roman" w:cs="Times New Roman"/>
          <w:b/>
          <w:bCs/>
          <w:kern w:val="36"/>
          <w:sz w:val="48"/>
          <w:szCs w:val="48"/>
        </w:rPr>
        <w:t xml:space="preserve"> and CO</w:t>
      </w:r>
      <w:r w:rsidRPr="00EF28E1">
        <w:rPr>
          <w:rFonts w:ascii="Times New Roman" w:eastAsia="Times New Roman" w:hAnsi="Times New Roman" w:cs="Times New Roman"/>
          <w:b/>
          <w:bCs/>
          <w:kern w:val="36"/>
          <w:sz w:val="48"/>
          <w:szCs w:val="48"/>
          <w:vertAlign w:val="subscript"/>
        </w:rPr>
        <w:t>2</w:t>
      </w:r>
      <w:r w:rsidRPr="00EF28E1">
        <w:rPr>
          <w:rFonts w:ascii="Times New Roman" w:eastAsia="Times New Roman" w:hAnsi="Times New Roman" w:cs="Times New Roman"/>
          <w:b/>
          <w:bCs/>
          <w:kern w:val="36"/>
          <w:sz w:val="48"/>
          <w:szCs w:val="48"/>
        </w:rPr>
        <w:t xml:space="preserve"> hydrate phase equilibrium and cage occupancy from ab initio intermolecular potentials</w:t>
      </w:r>
    </w:p>
    <w:p w:rsidR="00EF28E1" w:rsidRPr="00EF28E1" w:rsidRDefault="00EF28E1" w:rsidP="00EF28E1">
      <w:pPr>
        <w:spacing w:after="0"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Author links open overlay panel</w:t>
      </w:r>
    </w:p>
    <w:p w:rsidR="00EF28E1" w:rsidRPr="00EF28E1" w:rsidRDefault="00EF28E1" w:rsidP="00EF28E1">
      <w:pPr>
        <w:spacing w:after="0"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 </w:t>
      </w:r>
      <w:bookmarkStart w:id="0" w:name="baep-author-id12-profile"/>
      <w:r w:rsidRPr="00EF28E1">
        <w:rPr>
          <w:rFonts w:ascii="Times New Roman" w:eastAsia="Times New Roman" w:hAnsi="Times New Roman" w:cs="Times New Roman"/>
          <w:sz w:val="24"/>
          <w:szCs w:val="24"/>
        </w:rPr>
        <w:fldChar w:fldCharType="begin"/>
      </w:r>
      <w:r w:rsidRPr="00EF28E1">
        <w:rPr>
          <w:rFonts w:ascii="Times New Roman" w:eastAsia="Times New Roman" w:hAnsi="Times New Roman" w:cs="Times New Roman"/>
          <w:sz w:val="24"/>
          <w:szCs w:val="24"/>
        </w:rPr>
        <w:instrText xml:space="preserve"> HYPERLINK "https://www.sciencedirect.com/author/55664256700/zhenhao-duan" </w:instrText>
      </w:r>
      <w:r w:rsidRPr="00EF28E1">
        <w:rPr>
          <w:rFonts w:ascii="Times New Roman" w:eastAsia="Times New Roman" w:hAnsi="Times New Roman" w:cs="Times New Roman"/>
          <w:sz w:val="24"/>
          <w:szCs w:val="24"/>
        </w:rPr>
        <w:fldChar w:fldCharType="separate"/>
      </w:r>
      <w:proofErr w:type="spellStart"/>
      <w:r w:rsidRPr="00EF28E1">
        <w:rPr>
          <w:rFonts w:ascii="Times New Roman" w:eastAsia="Times New Roman" w:hAnsi="Times New Roman" w:cs="Times New Roman"/>
          <w:color w:val="0000FF"/>
          <w:sz w:val="24"/>
          <w:szCs w:val="24"/>
          <w:u w:val="single"/>
        </w:rPr>
        <w:t>Zhenhao</w:t>
      </w:r>
      <w:proofErr w:type="spellEnd"/>
      <w:r w:rsidRPr="00EF28E1">
        <w:rPr>
          <w:rFonts w:ascii="Times New Roman" w:eastAsia="Times New Roman" w:hAnsi="Times New Roman" w:cs="Times New Roman"/>
          <w:color w:val="0000FF"/>
          <w:sz w:val="24"/>
          <w:szCs w:val="24"/>
          <w:u w:val="single"/>
        </w:rPr>
        <w:t xml:space="preserve"> </w:t>
      </w:r>
      <w:proofErr w:type="spellStart"/>
      <w:r w:rsidRPr="00EF28E1">
        <w:rPr>
          <w:rFonts w:ascii="Times New Roman" w:eastAsia="Times New Roman" w:hAnsi="Times New Roman" w:cs="Times New Roman"/>
          <w:color w:val="0000FF"/>
          <w:sz w:val="24"/>
          <w:szCs w:val="24"/>
          <w:u w:val="single"/>
        </w:rPr>
        <w:t>Duan</w:t>
      </w:r>
      <w:proofErr w:type="spellEnd"/>
      <w:r w:rsidRPr="00EF28E1">
        <w:rPr>
          <w:rFonts w:ascii="Times New Roman" w:eastAsia="Times New Roman" w:hAnsi="Times New Roman" w:cs="Times New Roman"/>
          <w:color w:val="0000FF"/>
          <w:sz w:val="24"/>
          <w:szCs w:val="24"/>
          <w:u w:val="single"/>
        </w:rPr>
        <w:t xml:space="preserve"> </w:t>
      </w:r>
      <w:r w:rsidRPr="00EF28E1">
        <w:rPr>
          <w:rFonts w:ascii="Times New Roman" w:eastAsia="Times New Roman" w:hAnsi="Times New Roman" w:cs="Times New Roman"/>
          <w:color w:val="0000FF"/>
          <w:sz w:val="24"/>
          <w:szCs w:val="24"/>
          <w:u w:val="single"/>
          <w:vertAlign w:val="superscript"/>
        </w:rPr>
        <w:t>1</w:t>
      </w:r>
      <w:r w:rsidRPr="00EF28E1">
        <w:rPr>
          <w:rFonts w:ascii="Times New Roman" w:eastAsia="Times New Roman" w:hAnsi="Times New Roman" w:cs="Times New Roman"/>
          <w:color w:val="0000FF"/>
          <w:sz w:val="24"/>
          <w:szCs w:val="24"/>
          <w:u w:val="single"/>
        </w:rPr>
        <w:t xml:space="preserve"> </w:t>
      </w:r>
      <w:r w:rsidRPr="00EF28E1">
        <w:rPr>
          <w:rFonts w:ascii="Times New Roman" w:eastAsia="Times New Roman" w:hAnsi="Times New Roman" w:cs="Times New Roman"/>
          <w:color w:val="0000FF"/>
          <w:sz w:val="24"/>
          <w:szCs w:val="24"/>
          <w:u w:val="single"/>
          <w:vertAlign w:val="superscript"/>
        </w:rPr>
        <w:t>2</w:t>
      </w:r>
      <w:r w:rsidRPr="00EF28E1">
        <w:rPr>
          <w:rFonts w:ascii="Times New Roman" w:eastAsia="Times New Roman" w:hAnsi="Times New Roman" w:cs="Times New Roman"/>
          <w:sz w:val="24"/>
          <w:szCs w:val="24"/>
        </w:rPr>
        <w:fldChar w:fldCharType="end"/>
      </w:r>
      <w:bookmarkEnd w:id="0"/>
    </w:p>
    <w:p w:rsidR="00EF28E1" w:rsidRPr="00EF28E1" w:rsidRDefault="00EF28E1" w:rsidP="00EF28E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EF28E1">
          <w:rPr>
            <w:rFonts w:ascii="Times New Roman" w:eastAsia="Times New Roman" w:hAnsi="Times New Roman" w:cs="Times New Roman"/>
            <w:color w:val="0000FF"/>
            <w:sz w:val="24"/>
            <w:szCs w:val="24"/>
            <w:u w:val="single"/>
          </w:rPr>
          <w:t>https://doi.org/10.1016/j.gca.2005.05.012</w:t>
        </w:r>
      </w:hyperlink>
      <w:bookmarkStart w:id="1" w:name="_GoBack"/>
      <w:bookmarkEnd w:id="1"/>
      <w:r w:rsidRPr="00EF28E1">
        <w:rPr>
          <w:rFonts w:ascii="Times New Roman" w:eastAsia="Times New Roman" w:hAnsi="Times New Roman" w:cs="Times New Roman"/>
          <w:sz w:val="24"/>
          <w:szCs w:val="24"/>
        </w:rPr>
        <w:t xml:space="preserve"> </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Abstract</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Presented is an improved model for the prediction of </w:t>
      </w:r>
      <w:hyperlink r:id="rId5" w:tooltip="Learn more about phase equilibria from ScienceDirect's AI-generated Topic Pages" w:history="1">
        <w:r w:rsidRPr="00EF28E1">
          <w:rPr>
            <w:rFonts w:ascii="Times New Roman" w:eastAsia="Times New Roman" w:hAnsi="Times New Roman" w:cs="Times New Roman"/>
            <w:color w:val="0000FF"/>
            <w:sz w:val="24"/>
            <w:szCs w:val="24"/>
            <w:u w:val="single"/>
          </w:rPr>
          <w:t>phase equilibria</w:t>
        </w:r>
      </w:hyperlink>
      <w:r w:rsidRPr="00EF28E1">
        <w:rPr>
          <w:rFonts w:ascii="Times New Roman" w:eastAsia="Times New Roman" w:hAnsi="Times New Roman" w:cs="Times New Roman"/>
          <w:sz w:val="24"/>
          <w:szCs w:val="24"/>
        </w:rPr>
        <w:t xml:space="preserve"> and cage occupancy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in aqueous systems. Different from most hydrate models that employ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or Lennard-Jones potential with parameters derived from experimental phase equilibrium data of hydrates, we use atomic site-site potentials to account for the angle-dependent molecular interactions with parameters directly from ab initio calculation results. Because of this treatment, our model can predict the phase equilibria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in binary systems over a wide temperature-pressure range (from 243–318 K, and from 10–3000 bar for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from 253–293 K, and from 5–2000 bar for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with accuracy close to experiment. The average deviation of this model from experimental data is less than 3% in pressures for a given temperature. This accuracy is similar to previous models for pressures below 500 bar, but is more accurate than previous models at higher pressures. This model is also capable of predicting the cage occupancy and hydration number for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without fitting any experimental data. The success of this study validates the predictability of ab initio intermolecular potentials for thermodynamic properties.</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Introduction</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Gas hydrates, a solid network of water molecules with cavities that encapsulate guests, have been found in oil and natural gas pipelines (</w:t>
      </w:r>
      <w:proofErr w:type="spellStart"/>
      <w:r w:rsidRPr="00EF28E1">
        <w:rPr>
          <w:rFonts w:ascii="Times New Roman" w:eastAsia="Times New Roman" w:hAnsi="Times New Roman" w:cs="Times New Roman"/>
          <w:sz w:val="24"/>
          <w:szCs w:val="24"/>
        </w:rPr>
        <w:t>Hammerschmidt</w:t>
      </w:r>
      <w:proofErr w:type="spellEnd"/>
      <w:r w:rsidRPr="00EF28E1">
        <w:rPr>
          <w:rFonts w:ascii="Times New Roman" w:eastAsia="Times New Roman" w:hAnsi="Times New Roman" w:cs="Times New Roman"/>
          <w:sz w:val="24"/>
          <w:szCs w:val="24"/>
        </w:rPr>
        <w:t>, 1934), ocean sediment, permafrost regions (Sloan, 1998), and in comets and certain outer planets (</w:t>
      </w:r>
      <w:proofErr w:type="spellStart"/>
      <w:r w:rsidRPr="00EF28E1">
        <w:rPr>
          <w:rFonts w:ascii="Times New Roman" w:eastAsia="Times New Roman" w:hAnsi="Times New Roman" w:cs="Times New Roman"/>
          <w:sz w:val="24"/>
          <w:szCs w:val="24"/>
        </w:rPr>
        <w:t>Lunine</w:t>
      </w:r>
      <w:proofErr w:type="spellEnd"/>
      <w:r w:rsidRPr="00EF28E1">
        <w:rPr>
          <w:rFonts w:ascii="Times New Roman" w:eastAsia="Times New Roman" w:hAnsi="Times New Roman" w:cs="Times New Roman"/>
          <w:sz w:val="24"/>
          <w:szCs w:val="24"/>
        </w:rPr>
        <w:t xml:space="preserve"> and Stevenson, 1987). The total amount of natural gas stored in gas hydrate (mainly methane hydrate) reservoirs is estimated to be enormous and is considered as a future energy resource. Gas hydrates in the earth also provide two additional considerations; they are possible indicators of (1) current and ancient climate change, and (2) geological hazards (Sloan, 1998). In recent years the idea of sequestrating global warming gases, mainly carbon dioxide, on the ocean floor in the form of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as methods to hold the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concentration below a given level has been proposed. Alternatively, </w:t>
      </w:r>
      <w:proofErr w:type="spellStart"/>
      <w:r w:rsidRPr="00EF28E1">
        <w:rPr>
          <w:rFonts w:ascii="Times New Roman" w:eastAsia="Times New Roman" w:hAnsi="Times New Roman" w:cs="Times New Roman"/>
          <w:sz w:val="24"/>
          <w:szCs w:val="24"/>
        </w:rPr>
        <w:t>Ohgaki</w:t>
      </w:r>
      <w:proofErr w:type="spellEnd"/>
      <w:r w:rsidRPr="00EF28E1">
        <w:rPr>
          <w:rFonts w:ascii="Times New Roman" w:eastAsia="Times New Roman" w:hAnsi="Times New Roman" w:cs="Times New Roman"/>
          <w:sz w:val="24"/>
          <w:szCs w:val="24"/>
        </w:rPr>
        <w:t xml:space="preserve"> et al. (1994) proposed the idea of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storage in linkage with methane exploitation.</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The thermodynamics of gas hydrate are important in many applications, such as inhibiting the formation of hydrate in oil and gas pipelines, exploring and exploiting hydrate reservoirs, sequestrating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on the ocean floor, and analyzing the salinity of fluid inclusions (Collins 1979, Diamond 1994, Bakker 1997). Due to the limitation of experimental data, studies on the development of thermodynamic model for the predicting of the phase behavior of hydrates are of great importance. A variety of thermodynamic models for the calculation of phase equilibrium properties of the hydrate system have been discussed and reviewed in the literature (e.g., Holder et </w:t>
      </w:r>
      <w:r w:rsidRPr="00EF28E1">
        <w:rPr>
          <w:rFonts w:ascii="Times New Roman" w:eastAsia="Times New Roman" w:hAnsi="Times New Roman" w:cs="Times New Roman"/>
          <w:sz w:val="24"/>
          <w:szCs w:val="24"/>
        </w:rPr>
        <w:lastRenderedPageBreak/>
        <w:t xml:space="preserve">al 1988, </w:t>
      </w:r>
      <w:proofErr w:type="spellStart"/>
      <w:r w:rsidRPr="00EF28E1">
        <w:rPr>
          <w:rFonts w:ascii="Times New Roman" w:eastAsia="Times New Roman" w:hAnsi="Times New Roman" w:cs="Times New Roman"/>
          <w:sz w:val="24"/>
          <w:szCs w:val="24"/>
        </w:rPr>
        <w:t>Englezos</w:t>
      </w:r>
      <w:proofErr w:type="spellEnd"/>
      <w:r w:rsidRPr="00EF28E1">
        <w:rPr>
          <w:rFonts w:ascii="Times New Roman" w:eastAsia="Times New Roman" w:hAnsi="Times New Roman" w:cs="Times New Roman"/>
          <w:sz w:val="24"/>
          <w:szCs w:val="24"/>
        </w:rPr>
        <w:t xml:space="preserve"> 1993, Sloan 1998). The basic model for the phase equilibrium of gas hydrate was derived from statistical thermodynamics by van der Waals and </w:t>
      </w:r>
      <w:proofErr w:type="spellStart"/>
      <w:r w:rsidRPr="00EF28E1">
        <w:rPr>
          <w:rFonts w:ascii="Times New Roman" w:eastAsia="Times New Roman" w:hAnsi="Times New Roman" w:cs="Times New Roman"/>
          <w:sz w:val="24"/>
          <w:szCs w:val="24"/>
        </w:rPr>
        <w:t>Platteeuw</w:t>
      </w:r>
      <w:proofErr w:type="spellEnd"/>
      <w:r w:rsidRPr="00EF28E1">
        <w:rPr>
          <w:rFonts w:ascii="Times New Roman" w:eastAsia="Times New Roman" w:hAnsi="Times New Roman" w:cs="Times New Roman"/>
          <w:sz w:val="24"/>
          <w:szCs w:val="24"/>
        </w:rPr>
        <w:t xml:space="preserve"> (1959), and was generalized by Parrish and </w:t>
      </w:r>
      <w:proofErr w:type="spellStart"/>
      <w:r w:rsidRPr="00EF28E1">
        <w:rPr>
          <w:rFonts w:ascii="Times New Roman" w:eastAsia="Times New Roman" w:hAnsi="Times New Roman" w:cs="Times New Roman"/>
          <w:sz w:val="24"/>
          <w:szCs w:val="24"/>
        </w:rPr>
        <w:t>Prausnitz</w:t>
      </w:r>
      <w:proofErr w:type="spellEnd"/>
      <w:r w:rsidRPr="00EF28E1">
        <w:rPr>
          <w:rFonts w:ascii="Times New Roman" w:eastAsia="Times New Roman" w:hAnsi="Times New Roman" w:cs="Times New Roman"/>
          <w:sz w:val="24"/>
          <w:szCs w:val="24"/>
        </w:rPr>
        <w:t xml:space="preserve"> (1972) for the predicting of dissociation pressures of gas hydrates. Later, Holder at al. (1980) further simplified the Parrish-</w:t>
      </w:r>
      <w:proofErr w:type="spellStart"/>
      <w:r w:rsidRPr="00EF28E1">
        <w:rPr>
          <w:rFonts w:ascii="Times New Roman" w:eastAsia="Times New Roman" w:hAnsi="Times New Roman" w:cs="Times New Roman"/>
          <w:sz w:val="24"/>
          <w:szCs w:val="24"/>
        </w:rPr>
        <w:t>Prausnitz</w:t>
      </w:r>
      <w:proofErr w:type="spellEnd"/>
      <w:r w:rsidRPr="00EF28E1">
        <w:rPr>
          <w:rFonts w:ascii="Times New Roman" w:eastAsia="Times New Roman" w:hAnsi="Times New Roman" w:cs="Times New Roman"/>
          <w:sz w:val="24"/>
          <w:szCs w:val="24"/>
        </w:rPr>
        <w:t xml:space="preserve"> model so that the reference hydrate was eliminated from the model by introducing universal reference properties for each type of structure. This led to an established methodology for nearly all of the later thermodynamic models of gas hydrates. The difference among these models lies in the choice of different molecular potentials.</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Most published models predict gas hydrate phase equilibrium from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with parameters regressed from the experimental equilibrium and cage occupancy data of hydrates. Although these models can well reproduce the experimental data that were used in parameterization, they generally have poor capability to extrapolate beyond data range. Many models (e.g., Parrish-</w:t>
      </w:r>
      <w:proofErr w:type="spellStart"/>
      <w:r w:rsidRPr="00EF28E1">
        <w:rPr>
          <w:rFonts w:ascii="Times New Roman" w:eastAsia="Times New Roman" w:hAnsi="Times New Roman" w:cs="Times New Roman"/>
          <w:sz w:val="24"/>
          <w:szCs w:val="24"/>
        </w:rPr>
        <w:t>Prausnitz</w:t>
      </w:r>
      <w:proofErr w:type="spellEnd"/>
      <w:r w:rsidRPr="00EF28E1">
        <w:rPr>
          <w:rFonts w:ascii="Times New Roman" w:eastAsia="Times New Roman" w:hAnsi="Times New Roman" w:cs="Times New Roman"/>
          <w:sz w:val="24"/>
          <w:szCs w:val="24"/>
        </w:rPr>
        <w:t xml:space="preserve"> model and CSMHYD program of Sloan [1998]) can predict phase equilibria of gas hydrates only at pressures below 400 to 500 bar. The structure changes in mixture hydrates (as the transition from structure I to structure II in the methane-ethane hydrate [Subramanian et al., 2000]) cannot be predicted unless new potential parameters are used (Ballard and Sloan 2000, Clarke and Bishnoi 2003). Furthermore, the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surface derived from experimental data of hydrates are inconsistent with that derived from second virial coefficient and viscosity data by Tee et al. (1966). The latter was used by John et al. (1985) and Lee and Holder (2002) to predict phase equilibrium of gas hydrate. However, this treatment overestimates the cage occupancy of </w:t>
      </w:r>
      <w:proofErr w:type="spellStart"/>
      <w:r w:rsidRPr="00EF28E1">
        <w:rPr>
          <w:rFonts w:ascii="Times New Roman" w:eastAsia="Times New Roman" w:hAnsi="Times New Roman" w:cs="Times New Roman"/>
          <w:sz w:val="24"/>
          <w:szCs w:val="24"/>
        </w:rPr>
        <w:t>nonspherical</w:t>
      </w:r>
      <w:proofErr w:type="spellEnd"/>
      <w:r w:rsidRPr="00EF28E1">
        <w:rPr>
          <w:rFonts w:ascii="Times New Roman" w:eastAsia="Times New Roman" w:hAnsi="Times New Roman" w:cs="Times New Roman"/>
          <w:sz w:val="24"/>
          <w:szCs w:val="24"/>
        </w:rPr>
        <w:t xml:space="preserve"> guests, especially the occupancy fraction in a small cage.</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The inadequacy of previous hydrate models implies that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model cannot accurately describe the interaction between water and guest molecules. Accurate intermolecular potentials between a gas molecule and water are essential for the prediction of hydrate phase equilibrium. It is difficult to determine molecular interactions directly from macroscopic properties. Ab initio quantum chemical methods seem to provide an independent means to directly obtain accurate intermolecular potentials for guest-molecule water interactions. In the last two decades great progress on ab initio quantum calculation has been made, and the intermolecular potential energy surfaces for the interaction between gas and water molecules have been studied extensively. These studies showed that the intermolecular potential is strongly angle dependent. Cao et al 2001a, Cao et al 2001b) and </w:t>
      </w:r>
      <w:proofErr w:type="spellStart"/>
      <w:r w:rsidRPr="00EF28E1">
        <w:rPr>
          <w:rFonts w:ascii="Times New Roman" w:eastAsia="Times New Roman" w:hAnsi="Times New Roman" w:cs="Times New Roman"/>
          <w:sz w:val="24"/>
          <w:szCs w:val="24"/>
        </w:rPr>
        <w:t>Klauda</w:t>
      </w:r>
      <w:proofErr w:type="spellEnd"/>
      <w:r w:rsidRPr="00EF28E1">
        <w:rPr>
          <w:rFonts w:ascii="Times New Roman" w:eastAsia="Times New Roman" w:hAnsi="Times New Roman" w:cs="Times New Roman"/>
          <w:sz w:val="24"/>
          <w:szCs w:val="24"/>
        </w:rPr>
        <w:t xml:space="preserve"> and Sandler 2002, </w:t>
      </w:r>
      <w:proofErr w:type="spellStart"/>
      <w:r w:rsidRPr="00EF28E1">
        <w:rPr>
          <w:rFonts w:ascii="Times New Roman" w:eastAsia="Times New Roman" w:hAnsi="Times New Roman" w:cs="Times New Roman"/>
          <w:sz w:val="24"/>
          <w:szCs w:val="24"/>
        </w:rPr>
        <w:t>Klauda</w:t>
      </w:r>
      <w:proofErr w:type="spellEnd"/>
      <w:r w:rsidRPr="00EF28E1">
        <w:rPr>
          <w:rFonts w:ascii="Times New Roman" w:eastAsia="Times New Roman" w:hAnsi="Times New Roman" w:cs="Times New Roman"/>
          <w:sz w:val="24"/>
          <w:szCs w:val="24"/>
        </w:rPr>
        <w:t xml:space="preserve"> and Sandler 2003) succeeded in predicting phase equilibria of methane hydrate from the ab initio potentials determined by themselves. However, the cage occupancies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predicted by them are inconsistent with experimental data.</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The objective of this paper is to predict phase equilibria and cage occupancy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accurately from angle-dependent ab initio intermolecular potentials. An atomic site-site potential model was used to fit the ab initio calculations for the convenience of calculating the Langmuir constants. Our approach is different from previous studies in two aspects: (1) unlike spherical potentials, the atomic site-site potential takes account of the angle dependence of molecular interactions, and (2) unlike previous studies (e.g., EPM2 potential model for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developed by Harris and Yung [1995]), the parameters of the atomic site-site potential are evaluated from ab initio calculation results instead of from macroscopic experimental data. The Langmuir constants are computed from the ab initio potential for the application in van der Waals-</w:t>
      </w:r>
      <w:proofErr w:type="spellStart"/>
      <w:r w:rsidRPr="00EF28E1">
        <w:rPr>
          <w:rFonts w:ascii="Times New Roman" w:eastAsia="Times New Roman" w:hAnsi="Times New Roman" w:cs="Times New Roman"/>
          <w:sz w:val="24"/>
          <w:szCs w:val="24"/>
        </w:rPr>
        <w:t>Platteeuw</w:t>
      </w:r>
      <w:proofErr w:type="spellEnd"/>
      <w:r w:rsidRPr="00EF28E1">
        <w:rPr>
          <w:rFonts w:ascii="Times New Roman" w:eastAsia="Times New Roman" w:hAnsi="Times New Roman" w:cs="Times New Roman"/>
          <w:sz w:val="24"/>
          <w:szCs w:val="24"/>
        </w:rPr>
        <w:t xml:space="preserve"> model to predict the cage occupancy and equilibrium pressures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Similar work was published by Anderson et al. (2004) after the manuscript of this paper was submitted.</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lastRenderedPageBreak/>
        <w:t>Section snippets</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Thermodynamic model of hydrate</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Gas hydrates are nonstoichiometric crystalline compounds that consist of a hydrogen-bonded network of host water molecules and </w:t>
      </w:r>
      <w:proofErr w:type="spellStart"/>
      <w:r w:rsidRPr="00EF28E1">
        <w:rPr>
          <w:rFonts w:ascii="Times New Roman" w:eastAsia="Times New Roman" w:hAnsi="Times New Roman" w:cs="Times New Roman"/>
          <w:sz w:val="24"/>
          <w:szCs w:val="24"/>
        </w:rPr>
        <w:t>enclathrated</w:t>
      </w:r>
      <w:proofErr w:type="spellEnd"/>
      <w:r w:rsidRPr="00EF28E1">
        <w:rPr>
          <w:rFonts w:ascii="Times New Roman" w:eastAsia="Times New Roman" w:hAnsi="Times New Roman" w:cs="Times New Roman"/>
          <w:sz w:val="24"/>
          <w:szCs w:val="24"/>
        </w:rPr>
        <w:t xml:space="preserve"> guest molecules. In general, gas hydrates have three structural forms: structure I(</w:t>
      </w:r>
      <w:proofErr w:type="spellStart"/>
      <w:r w:rsidRPr="00EF28E1">
        <w:rPr>
          <w:rFonts w:ascii="Times New Roman" w:eastAsia="Times New Roman" w:hAnsi="Times New Roman" w:cs="Times New Roman"/>
          <w:sz w:val="24"/>
          <w:szCs w:val="24"/>
        </w:rPr>
        <w:t>sI</w:t>
      </w:r>
      <w:proofErr w:type="spellEnd"/>
      <w:r w:rsidRPr="00EF28E1">
        <w:rPr>
          <w:rFonts w:ascii="Times New Roman" w:eastAsia="Times New Roman" w:hAnsi="Times New Roman" w:cs="Times New Roman"/>
          <w:sz w:val="24"/>
          <w:szCs w:val="24"/>
        </w:rPr>
        <w:t xml:space="preserve">), structure </w:t>
      </w:r>
      <w:proofErr w:type="gramStart"/>
      <w:r w:rsidRPr="00EF28E1">
        <w:rPr>
          <w:rFonts w:ascii="Times New Roman" w:eastAsia="Times New Roman" w:hAnsi="Times New Roman" w:cs="Times New Roman"/>
          <w:sz w:val="24"/>
          <w:szCs w:val="24"/>
        </w:rPr>
        <w:t>II(</w:t>
      </w:r>
      <w:proofErr w:type="spellStart"/>
      <w:proofErr w:type="gramEnd"/>
      <w:r w:rsidRPr="00EF28E1">
        <w:rPr>
          <w:rFonts w:ascii="Times New Roman" w:eastAsia="Times New Roman" w:hAnsi="Times New Roman" w:cs="Times New Roman"/>
          <w:sz w:val="24"/>
          <w:szCs w:val="24"/>
        </w:rPr>
        <w:t>sII</w:t>
      </w:r>
      <w:proofErr w:type="spellEnd"/>
      <w:r w:rsidRPr="00EF28E1">
        <w:rPr>
          <w:rFonts w:ascii="Times New Roman" w:eastAsia="Times New Roman" w:hAnsi="Times New Roman" w:cs="Times New Roman"/>
          <w:sz w:val="24"/>
          <w:szCs w:val="24"/>
        </w:rPr>
        <w:t>), and structure H(</w:t>
      </w:r>
      <w:proofErr w:type="spellStart"/>
      <w:r w:rsidRPr="00EF28E1">
        <w:rPr>
          <w:rFonts w:ascii="Times New Roman" w:eastAsia="Times New Roman" w:hAnsi="Times New Roman" w:cs="Times New Roman"/>
          <w:sz w:val="24"/>
          <w:szCs w:val="24"/>
        </w:rPr>
        <w:t>sH</w:t>
      </w:r>
      <w:proofErr w:type="spellEnd"/>
      <w:r w:rsidRPr="00EF28E1">
        <w:rPr>
          <w:rFonts w:ascii="Times New Roman" w:eastAsia="Times New Roman" w:hAnsi="Times New Roman" w:cs="Times New Roman"/>
          <w:sz w:val="24"/>
          <w:szCs w:val="24"/>
        </w:rPr>
        <w:t>). Within the pressure range of this study (</w:t>
      </w:r>
      <w:r w:rsidRPr="00EF28E1">
        <w:rPr>
          <w:rFonts w:ascii="Times New Roman" w:eastAsia="Times New Roman" w:hAnsi="Times New Roman" w:cs="Times New Roman"/>
          <w:i/>
          <w:iCs/>
          <w:sz w:val="24"/>
          <w:szCs w:val="24"/>
        </w:rPr>
        <w:t>P</w:t>
      </w:r>
      <w:r w:rsidRPr="00EF28E1">
        <w:rPr>
          <w:rFonts w:ascii="Times New Roman" w:eastAsia="Times New Roman" w:hAnsi="Times New Roman" w:cs="Times New Roman"/>
          <w:sz w:val="24"/>
          <w:szCs w:val="24"/>
        </w:rPr>
        <w:t xml:space="preserve"> &lt; 3000 bar), methane hydrate and carbon dioxide hydrate are generally considered as </w:t>
      </w:r>
      <w:proofErr w:type="spellStart"/>
      <w:r w:rsidRPr="00EF28E1">
        <w:rPr>
          <w:rFonts w:ascii="Times New Roman" w:eastAsia="Times New Roman" w:hAnsi="Times New Roman" w:cs="Times New Roman"/>
          <w:sz w:val="24"/>
          <w:szCs w:val="24"/>
        </w:rPr>
        <w:t>sI</w:t>
      </w:r>
      <w:proofErr w:type="spellEnd"/>
      <w:r w:rsidRPr="00EF28E1">
        <w:rPr>
          <w:rFonts w:ascii="Times New Roman" w:eastAsia="Times New Roman" w:hAnsi="Times New Roman" w:cs="Times New Roman"/>
          <w:sz w:val="24"/>
          <w:szCs w:val="24"/>
        </w:rPr>
        <w:t xml:space="preserve"> hydrates (Sloan 1998, Loveday et al 2001b). The structure of </w:t>
      </w:r>
      <w:proofErr w:type="spellStart"/>
      <w:r w:rsidRPr="00EF28E1">
        <w:rPr>
          <w:rFonts w:ascii="Times New Roman" w:eastAsia="Times New Roman" w:hAnsi="Times New Roman" w:cs="Times New Roman"/>
          <w:sz w:val="24"/>
          <w:szCs w:val="24"/>
        </w:rPr>
        <w:t>sI</w:t>
      </w:r>
      <w:proofErr w:type="spellEnd"/>
      <w:r w:rsidRPr="00EF28E1">
        <w:rPr>
          <w:rFonts w:ascii="Times New Roman" w:eastAsia="Times New Roman" w:hAnsi="Times New Roman" w:cs="Times New Roman"/>
          <w:sz w:val="24"/>
          <w:szCs w:val="24"/>
        </w:rPr>
        <w:t xml:space="preserve"> hydrate has been studied extensively, </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Calculation of Langmuir constant</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As can be seen from Eqn. 4, an accurate intermolecular potential is the premise to calculate the Langmuir constant, which is the key to predicting both cage occupancy and phase equilibrium of gas hydrates accurately. Most of previous hydrate models compute Langmuir constants from the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model. However, the parameters of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are empirically regressed from experimental data of phase equilibrium and cage occupancy and have little physical meaning. It has been proven that </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Parameterization of the model</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After the parameters of the atomic site-site potential for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-H</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O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-H</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O system was determined, Langmuir constant, </w:t>
      </w:r>
      <w:proofErr w:type="spellStart"/>
      <w:r w:rsidRPr="00EF28E1">
        <w:rPr>
          <w:rFonts w:ascii="Times New Roman" w:eastAsia="Times New Roman" w:hAnsi="Times New Roman" w:cs="Times New Roman"/>
          <w:i/>
          <w:iCs/>
          <w:sz w:val="24"/>
          <w:szCs w:val="24"/>
        </w:rPr>
        <w:t>C</w:t>
      </w:r>
      <w:r w:rsidRPr="00EF28E1">
        <w:rPr>
          <w:rFonts w:ascii="Times New Roman" w:eastAsia="Times New Roman" w:hAnsi="Times New Roman" w:cs="Times New Roman"/>
          <w:i/>
          <w:iCs/>
          <w:sz w:val="24"/>
          <w:szCs w:val="24"/>
          <w:vertAlign w:val="subscript"/>
        </w:rPr>
        <w:t>ij</w:t>
      </w:r>
      <w:proofErr w:type="spellEnd"/>
      <w:r w:rsidRPr="00EF28E1">
        <w:rPr>
          <w:rFonts w:ascii="Times New Roman" w:eastAsia="Times New Roman" w:hAnsi="Times New Roman" w:cs="Times New Roman"/>
          <w:sz w:val="24"/>
          <w:szCs w:val="24"/>
        </w:rPr>
        <w:t xml:space="preserve">, can be computed from Eqn. 4. The contributions of the spherical asymmetry of cavities and the interaction between guest and water molecules beyond the first water shell to the Langmuir constant were included by this study. Since </w:t>
      </w:r>
      <w:proofErr w:type="gramStart"/>
      <w:r w:rsidRPr="00EF28E1">
        <w:rPr>
          <w:rFonts w:ascii="Times New Roman" w:eastAsia="Times New Roman" w:hAnsi="Times New Roman" w:cs="Times New Roman"/>
          <w:i/>
          <w:iCs/>
          <w:sz w:val="24"/>
          <w:szCs w:val="24"/>
        </w:rPr>
        <w:t>W</w:t>
      </w:r>
      <w:r w:rsidRPr="00EF28E1">
        <w:rPr>
          <w:rFonts w:ascii="Times New Roman" w:eastAsia="Times New Roman" w:hAnsi="Times New Roman" w:cs="Times New Roman"/>
          <w:sz w:val="24"/>
          <w:szCs w:val="24"/>
        </w:rPr>
        <w:t>(</w:t>
      </w:r>
      <w:proofErr w:type="gramEnd"/>
      <w:r w:rsidRPr="00EF28E1">
        <w:rPr>
          <w:rFonts w:ascii="Times New Roman" w:eastAsia="Times New Roman" w:hAnsi="Times New Roman" w:cs="Times New Roman"/>
          <w:i/>
          <w:iCs/>
          <w:sz w:val="24"/>
          <w:szCs w:val="24"/>
        </w:rPr>
        <w:t>r</w:t>
      </w:r>
      <w:r w:rsidRPr="00EF28E1">
        <w:rPr>
          <w:rFonts w:ascii="Times New Roman" w:eastAsia="Times New Roman" w:hAnsi="Times New Roman" w:cs="Times New Roman"/>
          <w:sz w:val="24"/>
          <w:szCs w:val="24"/>
        </w:rPr>
        <w:t xml:space="preserve">, Ω) depends both on the radial vector </w:t>
      </w:r>
      <w:r w:rsidRPr="00EF28E1">
        <w:rPr>
          <w:rFonts w:ascii="Times New Roman" w:eastAsia="Times New Roman" w:hAnsi="Times New Roman" w:cs="Times New Roman"/>
          <w:i/>
          <w:iCs/>
          <w:sz w:val="24"/>
          <w:szCs w:val="24"/>
        </w:rPr>
        <w:t>r</w:t>
      </w:r>
      <w:r w:rsidRPr="00EF28E1">
        <w:rPr>
          <w:rFonts w:ascii="Times New Roman" w:eastAsia="Times New Roman" w:hAnsi="Times New Roman" w:cs="Times New Roman"/>
          <w:sz w:val="24"/>
          <w:szCs w:val="24"/>
        </w:rPr>
        <w:t xml:space="preserve"> and on the orientation vector Ω of the guest molecule in the cavity, we used 576 evenly divided</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Results and discussion</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The phase equilibria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in the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-H</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O system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in the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-H</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O system have been studied extensively by experiment. Sloan (1998) collected and reviewed the experimental phase equilibrium data published before 1998. Over the last few years, some new experimental data were reported. The sources of the experimental data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are listed in Table 5, Table 6, respectively. For the phase equilibrium of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or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in binary systems,</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Conclusion</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By employing angle-dependent ab initio potentials of molecules, we improved the van der Waals-</w:t>
      </w:r>
      <w:proofErr w:type="spellStart"/>
      <w:r w:rsidRPr="00EF28E1">
        <w:rPr>
          <w:rFonts w:ascii="Times New Roman" w:eastAsia="Times New Roman" w:hAnsi="Times New Roman" w:cs="Times New Roman"/>
          <w:sz w:val="24"/>
          <w:szCs w:val="24"/>
        </w:rPr>
        <w:t>Platteeuw</w:t>
      </w:r>
      <w:proofErr w:type="spellEnd"/>
      <w:r w:rsidRPr="00EF28E1">
        <w:rPr>
          <w:rFonts w:ascii="Times New Roman" w:eastAsia="Times New Roman" w:hAnsi="Times New Roman" w:cs="Times New Roman"/>
          <w:sz w:val="24"/>
          <w:szCs w:val="24"/>
        </w:rPr>
        <w:t xml:space="preserve"> model to predict cage occupancy and phase equilibria of both CH</w:t>
      </w:r>
      <w:r w:rsidRPr="00EF28E1">
        <w:rPr>
          <w:rFonts w:ascii="Times New Roman" w:eastAsia="Times New Roman" w:hAnsi="Times New Roman" w:cs="Times New Roman"/>
          <w:sz w:val="24"/>
          <w:szCs w:val="24"/>
          <w:vertAlign w:val="subscript"/>
        </w:rPr>
        <w:t>4</w:t>
      </w:r>
      <w:r w:rsidRPr="00EF28E1">
        <w:rPr>
          <w:rFonts w:ascii="Times New Roman" w:eastAsia="Times New Roman" w:hAnsi="Times New Roman" w:cs="Times New Roman"/>
          <w:sz w:val="24"/>
          <w:szCs w:val="24"/>
        </w:rPr>
        <w:t xml:space="preserve"> hydrate and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 hydrate, with experimental accuracy. This approach is capable of extrapolating to high pressures, different from most hydrate models that employ </w:t>
      </w:r>
      <w:proofErr w:type="spellStart"/>
      <w:r w:rsidRPr="00EF28E1">
        <w:rPr>
          <w:rFonts w:ascii="Times New Roman" w:eastAsia="Times New Roman" w:hAnsi="Times New Roman" w:cs="Times New Roman"/>
          <w:sz w:val="24"/>
          <w:szCs w:val="24"/>
        </w:rPr>
        <w:t>Kihara</w:t>
      </w:r>
      <w:proofErr w:type="spellEnd"/>
      <w:r w:rsidRPr="00EF28E1">
        <w:rPr>
          <w:rFonts w:ascii="Times New Roman" w:eastAsia="Times New Roman" w:hAnsi="Times New Roman" w:cs="Times New Roman"/>
          <w:sz w:val="24"/>
          <w:szCs w:val="24"/>
        </w:rPr>
        <w:t xml:space="preserve"> potential with parameters derived from experimental equilibrium data of hydrates and that have little capability to extrapolate.</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lastRenderedPageBreak/>
        <w:t>In this study, we use an atomic</w:t>
      </w:r>
    </w:p>
    <w:p w:rsidR="00EF28E1" w:rsidRPr="00EF28E1" w:rsidRDefault="00EF28E1" w:rsidP="00EF28E1">
      <w:pPr>
        <w:spacing w:before="100" w:beforeAutospacing="1" w:after="100" w:afterAutospacing="1" w:line="240" w:lineRule="auto"/>
        <w:outlineLvl w:val="1"/>
        <w:rPr>
          <w:rFonts w:ascii="Times New Roman" w:eastAsia="Times New Roman" w:hAnsi="Times New Roman" w:cs="Times New Roman"/>
          <w:b/>
          <w:bCs/>
          <w:sz w:val="36"/>
          <w:szCs w:val="36"/>
        </w:rPr>
      </w:pPr>
      <w:r w:rsidRPr="00EF28E1">
        <w:rPr>
          <w:rFonts w:ascii="Times New Roman" w:eastAsia="Times New Roman" w:hAnsi="Times New Roman" w:cs="Times New Roman"/>
          <w:b/>
          <w:bCs/>
          <w:sz w:val="36"/>
          <w:szCs w:val="36"/>
        </w:rPr>
        <w:t>Acknowledgments</w:t>
      </w:r>
    </w:p>
    <w:p w:rsidR="00EF28E1" w:rsidRPr="00EF28E1" w:rsidRDefault="00EF28E1" w:rsidP="00EF28E1">
      <w:pPr>
        <w:spacing w:before="100" w:beforeAutospacing="1" w:after="100" w:afterAutospacing="1" w:line="240" w:lineRule="auto"/>
        <w:rPr>
          <w:rFonts w:ascii="Times New Roman" w:eastAsia="Times New Roman" w:hAnsi="Times New Roman" w:cs="Times New Roman"/>
          <w:sz w:val="24"/>
          <w:szCs w:val="24"/>
        </w:rPr>
      </w:pPr>
      <w:r w:rsidRPr="00EF28E1">
        <w:rPr>
          <w:rFonts w:ascii="Times New Roman" w:eastAsia="Times New Roman" w:hAnsi="Times New Roman" w:cs="Times New Roman"/>
          <w:sz w:val="24"/>
          <w:szCs w:val="24"/>
        </w:rPr>
        <w:t xml:space="preserve">Thanks to Drs. Brian Anderson, Bernhardt Trout, and Eric </w:t>
      </w:r>
      <w:proofErr w:type="spellStart"/>
      <w:r w:rsidRPr="00EF28E1">
        <w:rPr>
          <w:rFonts w:ascii="Times New Roman" w:eastAsia="Times New Roman" w:hAnsi="Times New Roman" w:cs="Times New Roman"/>
          <w:sz w:val="24"/>
          <w:szCs w:val="24"/>
        </w:rPr>
        <w:t>Oelkers</w:t>
      </w:r>
      <w:proofErr w:type="spellEnd"/>
      <w:r w:rsidRPr="00EF28E1">
        <w:rPr>
          <w:rFonts w:ascii="Times New Roman" w:eastAsia="Times New Roman" w:hAnsi="Times New Roman" w:cs="Times New Roman"/>
          <w:sz w:val="24"/>
          <w:szCs w:val="24"/>
        </w:rPr>
        <w:t xml:space="preserve"> for their constructive suggestions. We would like to acknowledge the generous help of Professor J. </w:t>
      </w:r>
      <w:proofErr w:type="spellStart"/>
      <w:r w:rsidRPr="00EF28E1">
        <w:rPr>
          <w:rFonts w:ascii="Times New Roman" w:eastAsia="Times New Roman" w:hAnsi="Times New Roman" w:cs="Times New Roman"/>
          <w:sz w:val="24"/>
          <w:szCs w:val="24"/>
        </w:rPr>
        <w:t>Sadlej</w:t>
      </w:r>
      <w:proofErr w:type="spellEnd"/>
      <w:r w:rsidRPr="00EF28E1">
        <w:rPr>
          <w:rFonts w:ascii="Times New Roman" w:eastAsia="Times New Roman" w:hAnsi="Times New Roman" w:cs="Times New Roman"/>
          <w:sz w:val="24"/>
          <w:szCs w:val="24"/>
        </w:rPr>
        <w:t xml:space="preserve"> for providing ab initio potential data of the CO</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-H</w:t>
      </w:r>
      <w:r w:rsidRPr="00EF28E1">
        <w:rPr>
          <w:rFonts w:ascii="Times New Roman" w:eastAsia="Times New Roman" w:hAnsi="Times New Roman" w:cs="Times New Roman"/>
          <w:sz w:val="24"/>
          <w:szCs w:val="24"/>
          <w:vertAlign w:val="subscript"/>
        </w:rPr>
        <w:t>2</w:t>
      </w:r>
      <w:r w:rsidRPr="00EF28E1">
        <w:rPr>
          <w:rFonts w:ascii="Times New Roman" w:eastAsia="Times New Roman" w:hAnsi="Times New Roman" w:cs="Times New Roman"/>
          <w:sz w:val="24"/>
          <w:szCs w:val="24"/>
        </w:rPr>
        <w:t xml:space="preserve">O complex. This work is supported by </w:t>
      </w:r>
      <w:proofErr w:type="spellStart"/>
      <w:r w:rsidRPr="00EF28E1">
        <w:rPr>
          <w:rFonts w:ascii="Times New Roman" w:eastAsia="Times New Roman" w:hAnsi="Times New Roman" w:cs="Times New Roman"/>
          <w:sz w:val="24"/>
          <w:szCs w:val="24"/>
        </w:rPr>
        <w:t>Zhenhao</w:t>
      </w:r>
      <w:proofErr w:type="spellEnd"/>
      <w:r w:rsidRPr="00EF28E1">
        <w:rPr>
          <w:rFonts w:ascii="Times New Roman" w:eastAsia="Times New Roman" w:hAnsi="Times New Roman" w:cs="Times New Roman"/>
          <w:sz w:val="24"/>
          <w:szCs w:val="24"/>
        </w:rPr>
        <w:t xml:space="preserve"> </w:t>
      </w:r>
      <w:proofErr w:type="spellStart"/>
      <w:r w:rsidRPr="00EF28E1">
        <w:rPr>
          <w:rFonts w:ascii="Times New Roman" w:eastAsia="Times New Roman" w:hAnsi="Times New Roman" w:cs="Times New Roman"/>
          <w:sz w:val="24"/>
          <w:szCs w:val="24"/>
        </w:rPr>
        <w:t>Duan’s</w:t>
      </w:r>
      <w:proofErr w:type="spellEnd"/>
      <w:r w:rsidRPr="00EF28E1">
        <w:rPr>
          <w:rFonts w:ascii="Times New Roman" w:eastAsia="Times New Roman" w:hAnsi="Times New Roman" w:cs="Times New Roman"/>
          <w:sz w:val="24"/>
          <w:szCs w:val="24"/>
        </w:rPr>
        <w:t xml:space="preserve"> “One Hundred Scientist Project” funds awarded by the Chinese Academy of Sciences and his outstanding young scientist funds (#40225008) awarded by National Natural Science Foundation of P.R. China.</w:t>
      </w:r>
    </w:p>
    <w:p w:rsidR="00A409AA" w:rsidRDefault="00A409AA"/>
    <w:sectPr w:rsidR="00A409AA">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28E1"/>
    <w:rsid w:val="00A409AA"/>
    <w:rsid w:val="00EF28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733A6"/>
  <w15:chartTrackingRefBased/>
  <w15:docId w15:val="{22409D41-A683-41EA-B5ED-C7851B048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4405480">
      <w:bodyDiv w:val="1"/>
      <w:marLeft w:val="0"/>
      <w:marRight w:val="0"/>
      <w:marTop w:val="0"/>
      <w:marBottom w:val="0"/>
      <w:divBdr>
        <w:top w:val="none" w:sz="0" w:space="0" w:color="auto"/>
        <w:left w:val="none" w:sz="0" w:space="0" w:color="auto"/>
        <w:bottom w:val="none" w:sz="0" w:space="0" w:color="auto"/>
        <w:right w:val="none" w:sz="0" w:space="0" w:color="auto"/>
      </w:divBdr>
      <w:divsChild>
        <w:div w:id="1389307666">
          <w:marLeft w:val="0"/>
          <w:marRight w:val="0"/>
          <w:marTop w:val="0"/>
          <w:marBottom w:val="0"/>
          <w:divBdr>
            <w:top w:val="none" w:sz="0" w:space="0" w:color="auto"/>
            <w:left w:val="none" w:sz="0" w:space="0" w:color="auto"/>
            <w:bottom w:val="none" w:sz="0" w:space="0" w:color="auto"/>
            <w:right w:val="none" w:sz="0" w:space="0" w:color="auto"/>
          </w:divBdr>
          <w:divsChild>
            <w:div w:id="1520512445">
              <w:marLeft w:val="0"/>
              <w:marRight w:val="0"/>
              <w:marTop w:val="0"/>
              <w:marBottom w:val="0"/>
              <w:divBdr>
                <w:top w:val="none" w:sz="0" w:space="0" w:color="auto"/>
                <w:left w:val="none" w:sz="0" w:space="0" w:color="auto"/>
                <w:bottom w:val="none" w:sz="0" w:space="0" w:color="auto"/>
                <w:right w:val="none" w:sz="0" w:space="0" w:color="auto"/>
              </w:divBdr>
              <w:divsChild>
                <w:div w:id="395324835">
                  <w:marLeft w:val="0"/>
                  <w:marRight w:val="0"/>
                  <w:marTop w:val="0"/>
                  <w:marBottom w:val="0"/>
                  <w:divBdr>
                    <w:top w:val="none" w:sz="0" w:space="0" w:color="auto"/>
                    <w:left w:val="none" w:sz="0" w:space="0" w:color="auto"/>
                    <w:bottom w:val="none" w:sz="0" w:space="0" w:color="auto"/>
                    <w:right w:val="none" w:sz="0" w:space="0" w:color="auto"/>
                  </w:divBdr>
                  <w:divsChild>
                    <w:div w:id="67996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83959">
          <w:marLeft w:val="0"/>
          <w:marRight w:val="0"/>
          <w:marTop w:val="0"/>
          <w:marBottom w:val="0"/>
          <w:divBdr>
            <w:top w:val="none" w:sz="0" w:space="0" w:color="auto"/>
            <w:left w:val="none" w:sz="0" w:space="0" w:color="auto"/>
            <w:bottom w:val="none" w:sz="0" w:space="0" w:color="auto"/>
            <w:right w:val="none" w:sz="0" w:space="0" w:color="auto"/>
          </w:divBdr>
          <w:divsChild>
            <w:div w:id="38747604">
              <w:marLeft w:val="0"/>
              <w:marRight w:val="0"/>
              <w:marTop w:val="0"/>
              <w:marBottom w:val="0"/>
              <w:divBdr>
                <w:top w:val="none" w:sz="0" w:space="0" w:color="auto"/>
                <w:left w:val="none" w:sz="0" w:space="0" w:color="auto"/>
                <w:bottom w:val="none" w:sz="0" w:space="0" w:color="auto"/>
                <w:right w:val="none" w:sz="0" w:space="0" w:color="auto"/>
              </w:divBdr>
              <w:divsChild>
                <w:div w:id="1117867967">
                  <w:marLeft w:val="0"/>
                  <w:marRight w:val="0"/>
                  <w:marTop w:val="0"/>
                  <w:marBottom w:val="0"/>
                  <w:divBdr>
                    <w:top w:val="none" w:sz="0" w:space="0" w:color="auto"/>
                    <w:left w:val="none" w:sz="0" w:space="0" w:color="auto"/>
                    <w:bottom w:val="none" w:sz="0" w:space="0" w:color="auto"/>
                    <w:right w:val="none" w:sz="0" w:space="0" w:color="auto"/>
                  </w:divBdr>
                  <w:divsChild>
                    <w:div w:id="1600985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2566426">
          <w:marLeft w:val="0"/>
          <w:marRight w:val="0"/>
          <w:marTop w:val="0"/>
          <w:marBottom w:val="0"/>
          <w:divBdr>
            <w:top w:val="none" w:sz="0" w:space="0" w:color="auto"/>
            <w:left w:val="none" w:sz="0" w:space="0" w:color="auto"/>
            <w:bottom w:val="none" w:sz="0" w:space="0" w:color="auto"/>
            <w:right w:val="none" w:sz="0" w:space="0" w:color="auto"/>
          </w:divBdr>
          <w:divsChild>
            <w:div w:id="1022895531">
              <w:marLeft w:val="0"/>
              <w:marRight w:val="0"/>
              <w:marTop w:val="0"/>
              <w:marBottom w:val="0"/>
              <w:divBdr>
                <w:top w:val="none" w:sz="0" w:space="0" w:color="auto"/>
                <w:left w:val="none" w:sz="0" w:space="0" w:color="auto"/>
                <w:bottom w:val="none" w:sz="0" w:space="0" w:color="auto"/>
                <w:right w:val="none" w:sz="0" w:space="0" w:color="auto"/>
              </w:divBdr>
            </w:div>
          </w:divsChild>
        </w:div>
        <w:div w:id="130484814">
          <w:marLeft w:val="0"/>
          <w:marRight w:val="0"/>
          <w:marTop w:val="0"/>
          <w:marBottom w:val="0"/>
          <w:divBdr>
            <w:top w:val="none" w:sz="0" w:space="0" w:color="auto"/>
            <w:left w:val="none" w:sz="0" w:space="0" w:color="auto"/>
            <w:bottom w:val="none" w:sz="0" w:space="0" w:color="auto"/>
            <w:right w:val="none" w:sz="0" w:space="0" w:color="auto"/>
          </w:divBdr>
          <w:divsChild>
            <w:div w:id="1281689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sciencedirect.com/topics/earth-and-planetary-sciences/phase-equilibrium" TargetMode="External"/><Relationship Id="rId4" Type="http://schemas.openxmlformats.org/officeDocument/2006/relationships/hyperlink" Target="https://doi.org/10.1016/j.gca.2005.05.0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1604</Words>
  <Characters>9146</Characters>
  <Application>Microsoft Office Word</Application>
  <DocSecurity>0</DocSecurity>
  <Lines>76</Lines>
  <Paragraphs>21</Paragraphs>
  <ScaleCrop>false</ScaleCrop>
  <Company/>
  <LinksUpToDate>false</LinksUpToDate>
  <CharactersWithSpaces>10729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2023-11-18T02:58:00Z</dcterms:created>
  <dcterms:modified xsi:type="dcterms:W3CDTF">2023-11-18T02:59:00Z</dcterms:modified>
</cp:coreProperties>
</file>