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96F80" w:rsidRPr="00596F80" w:rsidRDefault="00596F80" w:rsidP="00596F80">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96F80">
        <w:rPr>
          <w:rFonts w:ascii="Times New Roman" w:eastAsia="Times New Roman" w:hAnsi="Times New Roman" w:cs="Times New Roman"/>
          <w:b/>
          <w:bCs/>
          <w:kern w:val="36"/>
          <w:sz w:val="48"/>
          <w:szCs w:val="48"/>
        </w:rPr>
        <w:t>Diel behavior of rare earth elements in a mountain stream with acidic to neutral pH</w:t>
      </w:r>
    </w:p>
    <w:p w:rsidR="00596F80" w:rsidRPr="00596F80" w:rsidRDefault="00596F80" w:rsidP="00596F80">
      <w:pPr>
        <w:spacing w:after="0" w:line="240" w:lineRule="auto"/>
        <w:rPr>
          <w:rFonts w:ascii="Times New Roman" w:eastAsia="Times New Roman" w:hAnsi="Times New Roman" w:cs="Times New Roman"/>
          <w:sz w:val="24"/>
          <w:szCs w:val="24"/>
        </w:rPr>
      </w:pPr>
      <w:r w:rsidRPr="00596F80">
        <w:rPr>
          <w:rFonts w:ascii="Times New Roman" w:eastAsia="Times New Roman" w:hAnsi="Times New Roman" w:cs="Times New Roman"/>
          <w:sz w:val="24"/>
          <w:szCs w:val="24"/>
        </w:rPr>
        <w:t>Author links open overlay panel</w:t>
      </w:r>
    </w:p>
    <w:p w:rsidR="00596F80" w:rsidRPr="00596F80" w:rsidRDefault="00596F80" w:rsidP="00596F80">
      <w:pPr>
        <w:spacing w:after="0" w:line="240" w:lineRule="auto"/>
        <w:rPr>
          <w:rFonts w:ascii="Times New Roman" w:eastAsia="Times New Roman" w:hAnsi="Times New Roman" w:cs="Times New Roman"/>
          <w:sz w:val="24"/>
          <w:szCs w:val="24"/>
        </w:rPr>
      </w:pPr>
      <w:r w:rsidRPr="00596F80">
        <w:rPr>
          <w:rFonts w:ascii="Times New Roman" w:eastAsia="Times New Roman" w:hAnsi="Times New Roman" w:cs="Times New Roman"/>
          <w:sz w:val="24"/>
          <w:szCs w:val="24"/>
        </w:rPr>
        <w:t xml:space="preserve">, , </w:t>
      </w:r>
    </w:p>
    <w:p w:rsidR="00596F80" w:rsidRPr="00596F80" w:rsidRDefault="00596F80" w:rsidP="00596F80">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596F80">
          <w:rPr>
            <w:rFonts w:ascii="Times New Roman" w:eastAsia="Times New Roman" w:hAnsi="Times New Roman" w:cs="Times New Roman"/>
            <w:color w:val="0000FF"/>
            <w:sz w:val="24"/>
            <w:szCs w:val="24"/>
            <w:u w:val="single"/>
          </w:rPr>
          <w:t>https://doi.org/10.1016/j.gca.2005.03.019</w:t>
        </w:r>
      </w:hyperlink>
      <w:bookmarkStart w:id="0" w:name="_GoBack"/>
      <w:bookmarkEnd w:id="0"/>
      <w:r w:rsidRPr="00596F80">
        <w:rPr>
          <w:rFonts w:ascii="Times New Roman" w:eastAsia="Times New Roman" w:hAnsi="Times New Roman" w:cs="Times New Roman"/>
          <w:sz w:val="24"/>
          <w:szCs w:val="24"/>
        </w:rPr>
        <w:t xml:space="preserve"> </w:t>
      </w:r>
    </w:p>
    <w:p w:rsidR="00596F80" w:rsidRPr="00596F80" w:rsidRDefault="00596F80" w:rsidP="00596F80">
      <w:pPr>
        <w:spacing w:before="100" w:beforeAutospacing="1" w:after="100" w:afterAutospacing="1" w:line="240" w:lineRule="auto"/>
        <w:outlineLvl w:val="1"/>
        <w:rPr>
          <w:rFonts w:ascii="Times New Roman" w:eastAsia="Times New Roman" w:hAnsi="Times New Roman" w:cs="Times New Roman"/>
          <w:b/>
          <w:bCs/>
          <w:sz w:val="36"/>
          <w:szCs w:val="36"/>
        </w:rPr>
      </w:pPr>
      <w:r w:rsidRPr="00596F80">
        <w:rPr>
          <w:rFonts w:ascii="Times New Roman" w:eastAsia="Times New Roman" w:hAnsi="Times New Roman" w:cs="Times New Roman"/>
          <w:b/>
          <w:bCs/>
          <w:sz w:val="36"/>
          <w:szCs w:val="36"/>
        </w:rPr>
        <w:t>Abstract</w:t>
      </w:r>
    </w:p>
    <w:p w:rsidR="00596F80" w:rsidRPr="00596F80" w:rsidRDefault="00596F80" w:rsidP="00596F80">
      <w:pPr>
        <w:spacing w:before="100" w:beforeAutospacing="1" w:after="100" w:afterAutospacing="1" w:line="240" w:lineRule="auto"/>
        <w:rPr>
          <w:rFonts w:ascii="Times New Roman" w:eastAsia="Times New Roman" w:hAnsi="Times New Roman" w:cs="Times New Roman"/>
          <w:sz w:val="24"/>
          <w:szCs w:val="24"/>
        </w:rPr>
      </w:pPr>
      <w:r w:rsidRPr="00596F80">
        <w:rPr>
          <w:rFonts w:ascii="Times New Roman" w:eastAsia="Times New Roman" w:hAnsi="Times New Roman" w:cs="Times New Roman"/>
          <w:sz w:val="24"/>
          <w:szCs w:val="24"/>
        </w:rPr>
        <w:t xml:space="preserve">Diel (24-h) changes in concentrations of </w:t>
      </w:r>
      <w:hyperlink r:id="rId5" w:tooltip="Learn more about rare earth elements from ScienceDirect's AI-generated Topic Pages" w:history="1">
        <w:r w:rsidRPr="00596F80">
          <w:rPr>
            <w:rFonts w:ascii="Times New Roman" w:eastAsia="Times New Roman" w:hAnsi="Times New Roman" w:cs="Times New Roman"/>
            <w:color w:val="0000FF"/>
            <w:sz w:val="24"/>
            <w:szCs w:val="24"/>
            <w:u w:val="single"/>
          </w:rPr>
          <w:t>rare earth elements</w:t>
        </w:r>
      </w:hyperlink>
      <w:r w:rsidRPr="00596F80">
        <w:rPr>
          <w:rFonts w:ascii="Times New Roman" w:eastAsia="Times New Roman" w:hAnsi="Times New Roman" w:cs="Times New Roman"/>
          <w:sz w:val="24"/>
          <w:szCs w:val="24"/>
        </w:rPr>
        <w:t xml:space="preserve"> (REE) were investigated in Fisher Creek, a mountain stream in Montana that receives acid mine drainage in its </w:t>
      </w:r>
      <w:hyperlink r:id="rId6" w:tooltip="Learn more about headwaters from ScienceDirect's AI-generated Topic Pages" w:history="1">
        <w:r w:rsidRPr="00596F80">
          <w:rPr>
            <w:rFonts w:ascii="Times New Roman" w:eastAsia="Times New Roman" w:hAnsi="Times New Roman" w:cs="Times New Roman"/>
            <w:color w:val="0000FF"/>
            <w:sz w:val="24"/>
            <w:szCs w:val="24"/>
            <w:u w:val="single"/>
          </w:rPr>
          <w:t>headwaters</w:t>
        </w:r>
      </w:hyperlink>
      <w:r w:rsidRPr="00596F80">
        <w:rPr>
          <w:rFonts w:ascii="Times New Roman" w:eastAsia="Times New Roman" w:hAnsi="Times New Roman" w:cs="Times New Roman"/>
          <w:sz w:val="24"/>
          <w:szCs w:val="24"/>
        </w:rPr>
        <w:t xml:space="preserve">. Three simultaneous 24-h samplings were conducted at an upstream station (pH = 3.3), an intermediate station (pH = 5.5), and a downstream station (pH = 6.8). The REE were found to behave conservatively at the two upstream stations. At the downstream station, REE partitioned into suspended particles to a degree that varied with the time of day, and concentrations of dissolved REE were 2.9- to 9.4-fold (190% to 830%) higher in the early morning vs. the late afternoon. The decrease in dissolved REE concentrations during the day coincided with a corresponding increase in the concentration of REE in suspended particles, such that diel changes in the total REE concentrations were relatively minor (27% to 55% increase at night). Across the lanthanide series, the heavy REE partitioned into the suspended solid phase to a greater extent than the light REE. Filtered samples from the downstream station showed a decrease in shale-normalized REE concentration across the lanthanide series, with positive anomalies at La and </w:t>
      </w:r>
      <w:proofErr w:type="spellStart"/>
      <w:r w:rsidRPr="00596F80">
        <w:rPr>
          <w:rFonts w:ascii="Times New Roman" w:eastAsia="Times New Roman" w:hAnsi="Times New Roman" w:cs="Times New Roman"/>
          <w:sz w:val="24"/>
          <w:szCs w:val="24"/>
        </w:rPr>
        <w:t>Gd</w:t>
      </w:r>
      <w:proofErr w:type="spellEnd"/>
      <w:r w:rsidRPr="00596F80">
        <w:rPr>
          <w:rFonts w:ascii="Times New Roman" w:eastAsia="Times New Roman" w:hAnsi="Times New Roman" w:cs="Times New Roman"/>
          <w:sz w:val="24"/>
          <w:szCs w:val="24"/>
        </w:rPr>
        <w:t>, and a negative Eu anomaly. As the temperature of the creek increased in the afternoon, the slope of the REE profile steepened and the magnitude of the anomalies increased.</w:t>
      </w:r>
    </w:p>
    <w:p w:rsidR="00596F80" w:rsidRPr="00596F80" w:rsidRDefault="00596F80" w:rsidP="00596F80">
      <w:pPr>
        <w:spacing w:before="100" w:beforeAutospacing="1" w:after="100" w:afterAutospacing="1" w:line="240" w:lineRule="auto"/>
        <w:rPr>
          <w:rFonts w:ascii="Times New Roman" w:eastAsia="Times New Roman" w:hAnsi="Times New Roman" w:cs="Times New Roman"/>
          <w:sz w:val="24"/>
          <w:szCs w:val="24"/>
        </w:rPr>
      </w:pPr>
      <w:r w:rsidRPr="00596F80">
        <w:rPr>
          <w:rFonts w:ascii="Times New Roman" w:eastAsia="Times New Roman" w:hAnsi="Times New Roman" w:cs="Times New Roman"/>
          <w:sz w:val="24"/>
          <w:szCs w:val="24"/>
        </w:rPr>
        <w:t xml:space="preserve">The above observations are explained by cyclic adsorption of REE onto suspended particles of hydrous ferric and aluminum oxides (HFO, HAO). Conditional </w:t>
      </w:r>
      <w:hyperlink r:id="rId7" w:tooltip="Learn more about partition coefficients from ScienceDirect's AI-generated Topic Pages" w:history="1">
        <w:r w:rsidRPr="00596F80">
          <w:rPr>
            <w:rFonts w:ascii="Times New Roman" w:eastAsia="Times New Roman" w:hAnsi="Times New Roman" w:cs="Times New Roman"/>
            <w:color w:val="0000FF"/>
            <w:sz w:val="24"/>
            <w:szCs w:val="24"/>
            <w:u w:val="single"/>
          </w:rPr>
          <w:t>partition coefficients</w:t>
        </w:r>
      </w:hyperlink>
      <w:r w:rsidRPr="00596F80">
        <w:rPr>
          <w:rFonts w:ascii="Times New Roman" w:eastAsia="Times New Roman" w:hAnsi="Times New Roman" w:cs="Times New Roman"/>
          <w:sz w:val="24"/>
          <w:szCs w:val="24"/>
        </w:rPr>
        <w:t xml:space="preserve"> for each REE between the suspended solids and the aqueous phase reached a maximum at 1700 hours and a minimum at 0700 hours. This pattern is attributed to </w:t>
      </w:r>
      <w:hyperlink r:id="rId8" w:tooltip="Learn more about diel variations from ScienceDirect's AI-generated Topic Pages" w:history="1">
        <w:r w:rsidRPr="00596F80">
          <w:rPr>
            <w:rFonts w:ascii="Times New Roman" w:eastAsia="Times New Roman" w:hAnsi="Times New Roman" w:cs="Times New Roman"/>
            <w:color w:val="0000FF"/>
            <w:sz w:val="24"/>
            <w:szCs w:val="24"/>
            <w:u w:val="single"/>
          </w:rPr>
          <w:t>diel variations</w:t>
        </w:r>
      </w:hyperlink>
      <w:r w:rsidRPr="00596F80">
        <w:rPr>
          <w:rFonts w:ascii="Times New Roman" w:eastAsia="Times New Roman" w:hAnsi="Times New Roman" w:cs="Times New Roman"/>
          <w:sz w:val="24"/>
          <w:szCs w:val="24"/>
        </w:rPr>
        <w:t xml:space="preserve"> in stream temperature, possibly reinforced by kinetic factors (i.e., slower rates of reaction at night than during the day). Estimates of the enthalpy of adsorption of each REE onto suspended particles based on the field results averaged +82 kJ/mol and are similar in magnitude to estimates in the literature for adsorption of divalent metal cations onto clays and hydrous </w:t>
      </w:r>
      <w:hyperlink r:id="rId9" w:tooltip="Learn more about metal oxides from ScienceDirect's AI-generated Topic Pages" w:history="1">
        <w:r w:rsidRPr="00596F80">
          <w:rPr>
            <w:rFonts w:ascii="Times New Roman" w:eastAsia="Times New Roman" w:hAnsi="Times New Roman" w:cs="Times New Roman"/>
            <w:color w:val="0000FF"/>
            <w:sz w:val="24"/>
            <w:szCs w:val="24"/>
            <w:u w:val="single"/>
          </w:rPr>
          <w:t>metal oxides</w:t>
        </w:r>
      </w:hyperlink>
      <w:r w:rsidRPr="00596F80">
        <w:rPr>
          <w:rFonts w:ascii="Times New Roman" w:eastAsia="Times New Roman" w:hAnsi="Times New Roman" w:cs="Times New Roman"/>
          <w:sz w:val="24"/>
          <w:szCs w:val="24"/>
        </w:rPr>
        <w:t>. The results of this study have important implications to the use of REE as hydrogeochemical tracers in streams.</w:t>
      </w:r>
    </w:p>
    <w:p w:rsidR="00596F80" w:rsidRPr="00596F80" w:rsidRDefault="00596F80" w:rsidP="00596F80">
      <w:pPr>
        <w:spacing w:before="100" w:beforeAutospacing="1" w:after="100" w:afterAutospacing="1" w:line="240" w:lineRule="auto"/>
        <w:outlineLvl w:val="1"/>
        <w:rPr>
          <w:rFonts w:ascii="Times New Roman" w:eastAsia="Times New Roman" w:hAnsi="Times New Roman" w:cs="Times New Roman"/>
          <w:b/>
          <w:bCs/>
          <w:sz w:val="36"/>
          <w:szCs w:val="36"/>
        </w:rPr>
      </w:pPr>
      <w:r w:rsidRPr="00596F80">
        <w:rPr>
          <w:rFonts w:ascii="Times New Roman" w:eastAsia="Times New Roman" w:hAnsi="Times New Roman" w:cs="Times New Roman"/>
          <w:b/>
          <w:bCs/>
          <w:sz w:val="36"/>
          <w:szCs w:val="36"/>
        </w:rPr>
        <w:t>Introduction</w:t>
      </w:r>
    </w:p>
    <w:p w:rsidR="00596F80" w:rsidRPr="00596F80" w:rsidRDefault="00596F80" w:rsidP="00596F80">
      <w:pPr>
        <w:spacing w:before="100" w:beforeAutospacing="1" w:after="100" w:afterAutospacing="1" w:line="240" w:lineRule="auto"/>
        <w:rPr>
          <w:rFonts w:ascii="Times New Roman" w:eastAsia="Times New Roman" w:hAnsi="Times New Roman" w:cs="Times New Roman"/>
          <w:sz w:val="24"/>
          <w:szCs w:val="24"/>
        </w:rPr>
      </w:pPr>
      <w:r w:rsidRPr="00596F80">
        <w:rPr>
          <w:rFonts w:ascii="Times New Roman" w:eastAsia="Times New Roman" w:hAnsi="Times New Roman" w:cs="Times New Roman"/>
          <w:sz w:val="24"/>
          <w:szCs w:val="24"/>
        </w:rPr>
        <w:t>The geochemistry of rare earth elements (REE) in acidic waters has recently received considerable attention (</w:t>
      </w:r>
      <w:proofErr w:type="spellStart"/>
      <w:r w:rsidRPr="00596F80">
        <w:rPr>
          <w:rFonts w:ascii="Times New Roman" w:eastAsia="Times New Roman" w:hAnsi="Times New Roman" w:cs="Times New Roman"/>
          <w:sz w:val="24"/>
          <w:szCs w:val="24"/>
        </w:rPr>
        <w:t>Miekeley</w:t>
      </w:r>
      <w:proofErr w:type="spellEnd"/>
      <w:r w:rsidRPr="00596F80">
        <w:rPr>
          <w:rFonts w:ascii="Times New Roman" w:eastAsia="Times New Roman" w:hAnsi="Times New Roman" w:cs="Times New Roman"/>
          <w:sz w:val="24"/>
          <w:szCs w:val="24"/>
        </w:rPr>
        <w:t xml:space="preserve"> et al 1992, </w:t>
      </w:r>
      <w:proofErr w:type="spellStart"/>
      <w:r w:rsidRPr="00596F80">
        <w:rPr>
          <w:rFonts w:ascii="Times New Roman" w:eastAsia="Times New Roman" w:hAnsi="Times New Roman" w:cs="Times New Roman"/>
          <w:sz w:val="24"/>
          <w:szCs w:val="24"/>
        </w:rPr>
        <w:t>Johannesson</w:t>
      </w:r>
      <w:proofErr w:type="spellEnd"/>
      <w:r w:rsidRPr="00596F80">
        <w:rPr>
          <w:rFonts w:ascii="Times New Roman" w:eastAsia="Times New Roman" w:hAnsi="Times New Roman" w:cs="Times New Roman"/>
          <w:sz w:val="24"/>
          <w:szCs w:val="24"/>
        </w:rPr>
        <w:t xml:space="preserve"> and Lyons 1995, Lewis et al 1997, </w:t>
      </w:r>
      <w:proofErr w:type="spellStart"/>
      <w:r w:rsidRPr="00596F80">
        <w:rPr>
          <w:rFonts w:ascii="Times New Roman" w:eastAsia="Times New Roman" w:hAnsi="Times New Roman" w:cs="Times New Roman"/>
          <w:sz w:val="24"/>
          <w:szCs w:val="24"/>
        </w:rPr>
        <w:t>Leybourne</w:t>
      </w:r>
      <w:proofErr w:type="spellEnd"/>
      <w:r w:rsidRPr="00596F80">
        <w:rPr>
          <w:rFonts w:ascii="Times New Roman" w:eastAsia="Times New Roman" w:hAnsi="Times New Roman" w:cs="Times New Roman"/>
          <w:sz w:val="24"/>
          <w:szCs w:val="24"/>
        </w:rPr>
        <w:t xml:space="preserve"> et al 1998, </w:t>
      </w:r>
      <w:proofErr w:type="spellStart"/>
      <w:r w:rsidRPr="00596F80">
        <w:rPr>
          <w:rFonts w:ascii="Times New Roman" w:eastAsia="Times New Roman" w:hAnsi="Times New Roman" w:cs="Times New Roman"/>
          <w:sz w:val="24"/>
          <w:szCs w:val="24"/>
        </w:rPr>
        <w:t>Leybourne</w:t>
      </w:r>
      <w:proofErr w:type="spellEnd"/>
      <w:r w:rsidRPr="00596F80">
        <w:rPr>
          <w:rFonts w:ascii="Times New Roman" w:eastAsia="Times New Roman" w:hAnsi="Times New Roman" w:cs="Times New Roman"/>
          <w:sz w:val="24"/>
          <w:szCs w:val="24"/>
        </w:rPr>
        <w:t xml:space="preserve"> et al 2000, Elbaz-</w:t>
      </w:r>
      <w:proofErr w:type="spellStart"/>
      <w:r w:rsidRPr="00596F80">
        <w:rPr>
          <w:rFonts w:ascii="Times New Roman" w:eastAsia="Times New Roman" w:hAnsi="Times New Roman" w:cs="Times New Roman"/>
          <w:sz w:val="24"/>
          <w:szCs w:val="24"/>
        </w:rPr>
        <w:t>Poulichet</w:t>
      </w:r>
      <w:proofErr w:type="spellEnd"/>
      <w:r w:rsidRPr="00596F80">
        <w:rPr>
          <w:rFonts w:ascii="Times New Roman" w:eastAsia="Times New Roman" w:hAnsi="Times New Roman" w:cs="Times New Roman"/>
          <w:sz w:val="24"/>
          <w:szCs w:val="24"/>
        </w:rPr>
        <w:t xml:space="preserve"> and Dupuy 1999, Hollings et al 1999, </w:t>
      </w:r>
      <w:proofErr w:type="spellStart"/>
      <w:r w:rsidRPr="00596F80">
        <w:rPr>
          <w:rFonts w:ascii="Times New Roman" w:eastAsia="Times New Roman" w:hAnsi="Times New Roman" w:cs="Times New Roman"/>
          <w:sz w:val="24"/>
          <w:szCs w:val="24"/>
        </w:rPr>
        <w:t>Verplanck</w:t>
      </w:r>
      <w:proofErr w:type="spellEnd"/>
      <w:r w:rsidRPr="00596F80">
        <w:rPr>
          <w:rFonts w:ascii="Times New Roman" w:eastAsia="Times New Roman" w:hAnsi="Times New Roman" w:cs="Times New Roman"/>
          <w:sz w:val="24"/>
          <w:szCs w:val="24"/>
        </w:rPr>
        <w:t xml:space="preserve"> et al 1999, </w:t>
      </w:r>
      <w:proofErr w:type="spellStart"/>
      <w:r w:rsidRPr="00596F80">
        <w:rPr>
          <w:rFonts w:ascii="Times New Roman" w:eastAsia="Times New Roman" w:hAnsi="Times New Roman" w:cs="Times New Roman"/>
          <w:sz w:val="24"/>
          <w:szCs w:val="24"/>
        </w:rPr>
        <w:t>Verplanck</w:t>
      </w:r>
      <w:proofErr w:type="spellEnd"/>
      <w:r w:rsidRPr="00596F80">
        <w:rPr>
          <w:rFonts w:ascii="Times New Roman" w:eastAsia="Times New Roman" w:hAnsi="Times New Roman" w:cs="Times New Roman"/>
          <w:sz w:val="24"/>
          <w:szCs w:val="24"/>
        </w:rPr>
        <w:t xml:space="preserve"> et al 2004; </w:t>
      </w:r>
      <w:proofErr w:type="spellStart"/>
      <w:r w:rsidRPr="00596F80">
        <w:rPr>
          <w:rFonts w:ascii="Times New Roman" w:eastAsia="Times New Roman" w:hAnsi="Times New Roman" w:cs="Times New Roman"/>
          <w:sz w:val="24"/>
          <w:szCs w:val="24"/>
        </w:rPr>
        <w:t>Johannesson</w:t>
      </w:r>
      <w:proofErr w:type="spellEnd"/>
      <w:r w:rsidRPr="00596F80">
        <w:rPr>
          <w:rFonts w:ascii="Times New Roman" w:eastAsia="Times New Roman" w:hAnsi="Times New Roman" w:cs="Times New Roman"/>
          <w:sz w:val="24"/>
          <w:szCs w:val="24"/>
        </w:rPr>
        <w:t xml:space="preserve"> and Zhou, 1999; </w:t>
      </w:r>
      <w:proofErr w:type="spellStart"/>
      <w:r w:rsidRPr="00596F80">
        <w:rPr>
          <w:rFonts w:ascii="Times New Roman" w:eastAsia="Times New Roman" w:hAnsi="Times New Roman" w:cs="Times New Roman"/>
          <w:sz w:val="24"/>
          <w:szCs w:val="24"/>
        </w:rPr>
        <w:t>Gimeno</w:t>
      </w:r>
      <w:proofErr w:type="spellEnd"/>
      <w:r w:rsidRPr="00596F80">
        <w:rPr>
          <w:rFonts w:ascii="Times New Roman" w:eastAsia="Times New Roman" w:hAnsi="Times New Roman" w:cs="Times New Roman"/>
          <w:sz w:val="24"/>
          <w:szCs w:val="24"/>
        </w:rPr>
        <w:t xml:space="preserve"> et al 2000, </w:t>
      </w:r>
      <w:proofErr w:type="spellStart"/>
      <w:r w:rsidRPr="00596F80">
        <w:rPr>
          <w:rFonts w:ascii="Times New Roman" w:eastAsia="Times New Roman" w:hAnsi="Times New Roman" w:cs="Times New Roman"/>
          <w:sz w:val="24"/>
          <w:szCs w:val="24"/>
        </w:rPr>
        <w:t>Åström</w:t>
      </w:r>
      <w:proofErr w:type="spellEnd"/>
      <w:r w:rsidRPr="00596F80">
        <w:rPr>
          <w:rFonts w:ascii="Times New Roman" w:eastAsia="Times New Roman" w:hAnsi="Times New Roman" w:cs="Times New Roman"/>
          <w:sz w:val="24"/>
          <w:szCs w:val="24"/>
        </w:rPr>
        <w:t xml:space="preserve"> 2001, Worrall and Pearson 2001a, Worrall and Pearson 2001b, Gammons et al 2003, Gammons et al 2005; Wood et al., 2005). The mobilities of REE typically are much higher in acidic as opposed to neutral or alkaline water, making analytical quantification relatively straightforward. REE may be useful as hydrogeochemical tracers of processes occurring near the source of acid generation or in downgradient waters where the acidity is neutralized or diluted. In certain applications—for </w:t>
      </w:r>
      <w:r w:rsidRPr="00596F80">
        <w:rPr>
          <w:rFonts w:ascii="Times New Roman" w:eastAsia="Times New Roman" w:hAnsi="Times New Roman" w:cs="Times New Roman"/>
          <w:sz w:val="24"/>
          <w:szCs w:val="24"/>
        </w:rPr>
        <w:lastRenderedPageBreak/>
        <w:t>example, in watersheds draining abandoned mine lands—the potential exists to use REE concentration patterns as fingerprints to discriminate between multiple sources of contamination. However, deposition of hydrous oxides of Fe, Al, and Mn in downstream reaches of mining-impacted waters can lead to sequestration of REE, with attendant interelement fractionation (</w:t>
      </w:r>
      <w:proofErr w:type="spellStart"/>
      <w:r w:rsidRPr="00596F80">
        <w:rPr>
          <w:rFonts w:ascii="Times New Roman" w:eastAsia="Times New Roman" w:hAnsi="Times New Roman" w:cs="Times New Roman"/>
          <w:sz w:val="24"/>
          <w:szCs w:val="24"/>
        </w:rPr>
        <w:t>Verplanck</w:t>
      </w:r>
      <w:proofErr w:type="spellEnd"/>
      <w:r w:rsidRPr="00596F80">
        <w:rPr>
          <w:rFonts w:ascii="Times New Roman" w:eastAsia="Times New Roman" w:hAnsi="Times New Roman" w:cs="Times New Roman"/>
          <w:sz w:val="24"/>
          <w:szCs w:val="24"/>
        </w:rPr>
        <w:t xml:space="preserve"> et al., 2004).</w:t>
      </w:r>
    </w:p>
    <w:p w:rsidR="00596F80" w:rsidRPr="00596F80" w:rsidRDefault="00596F80" w:rsidP="00596F80">
      <w:pPr>
        <w:spacing w:before="100" w:beforeAutospacing="1" w:after="100" w:afterAutospacing="1" w:line="240" w:lineRule="auto"/>
        <w:rPr>
          <w:rFonts w:ascii="Times New Roman" w:eastAsia="Times New Roman" w:hAnsi="Times New Roman" w:cs="Times New Roman"/>
          <w:sz w:val="24"/>
          <w:szCs w:val="24"/>
        </w:rPr>
      </w:pPr>
      <w:r w:rsidRPr="00596F80">
        <w:rPr>
          <w:rFonts w:ascii="Times New Roman" w:eastAsia="Times New Roman" w:hAnsi="Times New Roman" w:cs="Times New Roman"/>
          <w:sz w:val="24"/>
          <w:szCs w:val="24"/>
        </w:rPr>
        <w:t xml:space="preserve">Meanwhile, recent work—unrelated to REE—has documented the phenomenon of diel (24-h) cycling of metals in streams of the Northern Rocky Mountains, especially those streams that have been affected by hard-rock mining. In streams with acidic pH, diel metal cycling is dominated by light-sensitive Fe redox reactions (McKnight et al 1988, McKnight and </w:t>
      </w:r>
      <w:proofErr w:type="spellStart"/>
      <w:r w:rsidRPr="00596F80">
        <w:rPr>
          <w:rFonts w:ascii="Times New Roman" w:eastAsia="Times New Roman" w:hAnsi="Times New Roman" w:cs="Times New Roman"/>
          <w:sz w:val="24"/>
          <w:szCs w:val="24"/>
        </w:rPr>
        <w:t>Bencala</w:t>
      </w:r>
      <w:proofErr w:type="spellEnd"/>
      <w:r w:rsidRPr="00596F80">
        <w:rPr>
          <w:rFonts w:ascii="Times New Roman" w:eastAsia="Times New Roman" w:hAnsi="Times New Roman" w:cs="Times New Roman"/>
          <w:sz w:val="24"/>
          <w:szCs w:val="24"/>
        </w:rPr>
        <w:t xml:space="preserve"> 1989, Sullivan et al 1998, McKnight et al 2001, Gammons et al 2005). In streams with near-neutral to alkaline pH, the concentrations of dissolved metal cations (e.g., Zn</w:t>
      </w:r>
      <w:r w:rsidRPr="00596F80">
        <w:rPr>
          <w:rFonts w:ascii="Times New Roman" w:eastAsia="Times New Roman" w:hAnsi="Times New Roman" w:cs="Times New Roman"/>
          <w:sz w:val="24"/>
          <w:szCs w:val="24"/>
          <w:vertAlign w:val="superscript"/>
        </w:rPr>
        <w:t>2+</w:t>
      </w:r>
      <w:r w:rsidRPr="00596F80">
        <w:rPr>
          <w:rFonts w:ascii="Times New Roman" w:eastAsia="Times New Roman" w:hAnsi="Times New Roman" w:cs="Times New Roman"/>
          <w:sz w:val="24"/>
          <w:szCs w:val="24"/>
        </w:rPr>
        <w:t>, Mn</w:t>
      </w:r>
      <w:r w:rsidRPr="00596F80">
        <w:rPr>
          <w:rFonts w:ascii="Times New Roman" w:eastAsia="Times New Roman" w:hAnsi="Times New Roman" w:cs="Times New Roman"/>
          <w:sz w:val="24"/>
          <w:szCs w:val="24"/>
          <w:vertAlign w:val="superscript"/>
        </w:rPr>
        <w:t>2+</w:t>
      </w:r>
      <w:r w:rsidRPr="00596F80">
        <w:rPr>
          <w:rFonts w:ascii="Times New Roman" w:eastAsia="Times New Roman" w:hAnsi="Times New Roman" w:cs="Times New Roman"/>
          <w:sz w:val="24"/>
          <w:szCs w:val="24"/>
        </w:rPr>
        <w:t>, Cd</w:t>
      </w:r>
      <w:r w:rsidRPr="00596F80">
        <w:rPr>
          <w:rFonts w:ascii="Times New Roman" w:eastAsia="Times New Roman" w:hAnsi="Times New Roman" w:cs="Times New Roman"/>
          <w:sz w:val="24"/>
          <w:szCs w:val="24"/>
          <w:vertAlign w:val="superscript"/>
        </w:rPr>
        <w:t>2+</w:t>
      </w:r>
      <w:r w:rsidRPr="00596F80">
        <w:rPr>
          <w:rFonts w:ascii="Times New Roman" w:eastAsia="Times New Roman" w:hAnsi="Times New Roman" w:cs="Times New Roman"/>
          <w:sz w:val="24"/>
          <w:szCs w:val="24"/>
        </w:rPr>
        <w:t xml:space="preserve">) tend to increase at night and decrease during the day (Brick and Moore 1996, </w:t>
      </w:r>
      <w:proofErr w:type="spellStart"/>
      <w:r w:rsidRPr="00596F80">
        <w:rPr>
          <w:rFonts w:ascii="Times New Roman" w:eastAsia="Times New Roman" w:hAnsi="Times New Roman" w:cs="Times New Roman"/>
          <w:sz w:val="24"/>
          <w:szCs w:val="24"/>
        </w:rPr>
        <w:t>Nimick</w:t>
      </w:r>
      <w:proofErr w:type="spellEnd"/>
      <w:r w:rsidRPr="00596F80">
        <w:rPr>
          <w:rFonts w:ascii="Times New Roman" w:eastAsia="Times New Roman" w:hAnsi="Times New Roman" w:cs="Times New Roman"/>
          <w:sz w:val="24"/>
          <w:szCs w:val="24"/>
        </w:rPr>
        <w:t xml:space="preserve"> et al 2003, Jones et al 2004, Gammons et al 2005, </w:t>
      </w:r>
      <w:proofErr w:type="spellStart"/>
      <w:r w:rsidRPr="00596F80">
        <w:rPr>
          <w:rFonts w:ascii="Times New Roman" w:eastAsia="Times New Roman" w:hAnsi="Times New Roman" w:cs="Times New Roman"/>
          <w:sz w:val="24"/>
          <w:szCs w:val="24"/>
        </w:rPr>
        <w:t>Nimick</w:t>
      </w:r>
      <w:proofErr w:type="spellEnd"/>
      <w:r w:rsidRPr="00596F80">
        <w:rPr>
          <w:rFonts w:ascii="Times New Roman" w:eastAsia="Times New Roman" w:hAnsi="Times New Roman" w:cs="Times New Roman"/>
          <w:sz w:val="24"/>
          <w:szCs w:val="24"/>
        </w:rPr>
        <w:t xml:space="preserve"> et al 2005). In contrast, anionic constituents (such as HAsO</w:t>
      </w:r>
      <w:r w:rsidRPr="00596F80">
        <w:rPr>
          <w:rFonts w:ascii="Times New Roman" w:eastAsia="Times New Roman" w:hAnsi="Times New Roman" w:cs="Times New Roman"/>
          <w:sz w:val="24"/>
          <w:szCs w:val="24"/>
          <w:vertAlign w:val="subscript"/>
        </w:rPr>
        <w:t>4</w:t>
      </w:r>
      <w:r w:rsidRPr="00596F80">
        <w:rPr>
          <w:rFonts w:ascii="Times New Roman" w:eastAsia="Times New Roman" w:hAnsi="Times New Roman" w:cs="Times New Roman"/>
          <w:sz w:val="24"/>
          <w:szCs w:val="24"/>
          <w:vertAlign w:val="superscript"/>
        </w:rPr>
        <w:t>2−</w:t>
      </w:r>
      <w:r w:rsidRPr="00596F80">
        <w:rPr>
          <w:rFonts w:ascii="Times New Roman" w:eastAsia="Times New Roman" w:hAnsi="Times New Roman" w:cs="Times New Roman"/>
          <w:sz w:val="24"/>
          <w:szCs w:val="24"/>
        </w:rPr>
        <w:t xml:space="preserve">) typically show the reverse trend (Fuller and Davis 1989, Brick and Moore 1996, </w:t>
      </w:r>
      <w:proofErr w:type="spellStart"/>
      <w:r w:rsidRPr="00596F80">
        <w:rPr>
          <w:rFonts w:ascii="Times New Roman" w:eastAsia="Times New Roman" w:hAnsi="Times New Roman" w:cs="Times New Roman"/>
          <w:sz w:val="24"/>
          <w:szCs w:val="24"/>
        </w:rPr>
        <w:t>Nimick</w:t>
      </w:r>
      <w:proofErr w:type="spellEnd"/>
      <w:r w:rsidRPr="00596F80">
        <w:rPr>
          <w:rFonts w:ascii="Times New Roman" w:eastAsia="Times New Roman" w:hAnsi="Times New Roman" w:cs="Times New Roman"/>
          <w:sz w:val="24"/>
          <w:szCs w:val="24"/>
        </w:rPr>
        <w:t xml:space="preserve"> et al 1998, </w:t>
      </w:r>
      <w:proofErr w:type="spellStart"/>
      <w:r w:rsidRPr="00596F80">
        <w:rPr>
          <w:rFonts w:ascii="Times New Roman" w:eastAsia="Times New Roman" w:hAnsi="Times New Roman" w:cs="Times New Roman"/>
          <w:sz w:val="24"/>
          <w:szCs w:val="24"/>
        </w:rPr>
        <w:t>Nimick</w:t>
      </w:r>
      <w:proofErr w:type="spellEnd"/>
      <w:r w:rsidRPr="00596F80">
        <w:rPr>
          <w:rFonts w:ascii="Times New Roman" w:eastAsia="Times New Roman" w:hAnsi="Times New Roman" w:cs="Times New Roman"/>
          <w:sz w:val="24"/>
          <w:szCs w:val="24"/>
        </w:rPr>
        <w:t xml:space="preserve"> et al 2003). These diel variations are thought to be caused by reversible pH- and temperature-dependent adsorption of ions onto benthic or suspended solid substrates, including biofilms and secondary hydrous metal oxide precipitates (Fuller and Davis 1989, </w:t>
      </w:r>
      <w:proofErr w:type="spellStart"/>
      <w:r w:rsidRPr="00596F80">
        <w:rPr>
          <w:rFonts w:ascii="Times New Roman" w:eastAsia="Times New Roman" w:hAnsi="Times New Roman" w:cs="Times New Roman"/>
          <w:sz w:val="24"/>
          <w:szCs w:val="24"/>
        </w:rPr>
        <w:t>Nimick</w:t>
      </w:r>
      <w:proofErr w:type="spellEnd"/>
      <w:r w:rsidRPr="00596F80">
        <w:rPr>
          <w:rFonts w:ascii="Times New Roman" w:eastAsia="Times New Roman" w:hAnsi="Times New Roman" w:cs="Times New Roman"/>
          <w:sz w:val="24"/>
          <w:szCs w:val="24"/>
        </w:rPr>
        <w:t xml:space="preserve"> et al 2003, Jones et al 2004). In many cases, the 24-h fluctuations are quite large and therefore can have important implications as to how the water quality of streams draining abandoned mines should be monitored and assessed.</w:t>
      </w:r>
    </w:p>
    <w:p w:rsidR="00596F80" w:rsidRPr="00596F80" w:rsidRDefault="00596F80" w:rsidP="00596F80">
      <w:pPr>
        <w:spacing w:before="100" w:beforeAutospacing="1" w:after="100" w:afterAutospacing="1" w:line="240" w:lineRule="auto"/>
        <w:rPr>
          <w:rFonts w:ascii="Times New Roman" w:eastAsia="Times New Roman" w:hAnsi="Times New Roman" w:cs="Times New Roman"/>
          <w:sz w:val="24"/>
          <w:szCs w:val="24"/>
        </w:rPr>
      </w:pPr>
      <w:r w:rsidRPr="00596F80">
        <w:rPr>
          <w:rFonts w:ascii="Times New Roman" w:eastAsia="Times New Roman" w:hAnsi="Times New Roman" w:cs="Times New Roman"/>
          <w:sz w:val="24"/>
          <w:szCs w:val="24"/>
        </w:rPr>
        <w:t>Given the ongoing interest in the geochemistry of REE in streams and the increased recognition of the importance of diel metal cycling, it is logical to explore the diel behavior of REE in streams. In a companion paper, Gammons et al. (2005) documented large (as much as sevenfold) diel changes in the dissolved concentration of Fe, Cu, Al, Zn, and Mn in Fisher Creek, a mountain stream whose pH changes from highly acidic to near-neutral over a relatively short distance. The present paper builds on our previous study by determining diel variations in dissolved and total concentrations of REE in Fisher Creek. Possible reasons for the observed trends are evaluated and discussed.</w:t>
      </w:r>
    </w:p>
    <w:p w:rsidR="00596F80" w:rsidRPr="00596F80" w:rsidRDefault="00596F80" w:rsidP="00596F80">
      <w:pPr>
        <w:spacing w:before="100" w:beforeAutospacing="1" w:after="100" w:afterAutospacing="1" w:line="240" w:lineRule="auto"/>
        <w:outlineLvl w:val="1"/>
        <w:rPr>
          <w:rFonts w:ascii="Times New Roman" w:eastAsia="Times New Roman" w:hAnsi="Times New Roman" w:cs="Times New Roman"/>
          <w:b/>
          <w:bCs/>
          <w:sz w:val="36"/>
          <w:szCs w:val="36"/>
        </w:rPr>
      </w:pPr>
      <w:r w:rsidRPr="00596F80">
        <w:rPr>
          <w:rFonts w:ascii="Times New Roman" w:eastAsia="Times New Roman" w:hAnsi="Times New Roman" w:cs="Times New Roman"/>
          <w:b/>
          <w:bCs/>
          <w:sz w:val="36"/>
          <w:szCs w:val="36"/>
        </w:rPr>
        <w:t>Section snippets</w:t>
      </w:r>
    </w:p>
    <w:p w:rsidR="00596F80" w:rsidRPr="00596F80" w:rsidRDefault="00596F80" w:rsidP="00596F80">
      <w:pPr>
        <w:spacing w:before="100" w:beforeAutospacing="1" w:after="100" w:afterAutospacing="1" w:line="240" w:lineRule="auto"/>
        <w:outlineLvl w:val="1"/>
        <w:rPr>
          <w:rFonts w:ascii="Times New Roman" w:eastAsia="Times New Roman" w:hAnsi="Times New Roman" w:cs="Times New Roman"/>
          <w:b/>
          <w:bCs/>
          <w:sz w:val="36"/>
          <w:szCs w:val="36"/>
        </w:rPr>
      </w:pPr>
      <w:r w:rsidRPr="00596F80">
        <w:rPr>
          <w:rFonts w:ascii="Times New Roman" w:eastAsia="Times New Roman" w:hAnsi="Times New Roman" w:cs="Times New Roman"/>
          <w:b/>
          <w:bCs/>
          <w:sz w:val="36"/>
          <w:szCs w:val="36"/>
        </w:rPr>
        <w:t>Description of the field area and previous work</w:t>
      </w:r>
    </w:p>
    <w:p w:rsidR="00596F80" w:rsidRPr="00596F80" w:rsidRDefault="00596F80" w:rsidP="00596F80">
      <w:pPr>
        <w:spacing w:before="100" w:beforeAutospacing="1" w:after="100" w:afterAutospacing="1" w:line="240" w:lineRule="auto"/>
        <w:rPr>
          <w:rFonts w:ascii="Times New Roman" w:eastAsia="Times New Roman" w:hAnsi="Times New Roman" w:cs="Times New Roman"/>
          <w:sz w:val="24"/>
          <w:szCs w:val="24"/>
        </w:rPr>
      </w:pPr>
      <w:r w:rsidRPr="00596F80">
        <w:rPr>
          <w:rFonts w:ascii="Times New Roman" w:eastAsia="Times New Roman" w:hAnsi="Times New Roman" w:cs="Times New Roman"/>
          <w:sz w:val="24"/>
          <w:szCs w:val="24"/>
        </w:rPr>
        <w:t>Fisher Creek is a small, high-altitude mountain stream located in the New World mining district, just north of Cooke City, Montana (Fig. 1). The headwaters of Fisher Creek are acidic owing to natural acid rock drainage (Kimball et al., 1999) as well as drainage associated with abandoned mines that produced Cu-Au-Ag-Pb-Zn ore (Elliot et al., 1992). The stream drains an approximately 8-km</w:t>
      </w:r>
      <w:r w:rsidRPr="00596F80">
        <w:rPr>
          <w:rFonts w:ascii="Times New Roman" w:eastAsia="Times New Roman" w:hAnsi="Times New Roman" w:cs="Times New Roman"/>
          <w:sz w:val="24"/>
          <w:szCs w:val="24"/>
          <w:vertAlign w:val="superscript"/>
        </w:rPr>
        <w:t>2</w:t>
      </w:r>
      <w:r w:rsidRPr="00596F80">
        <w:rPr>
          <w:rFonts w:ascii="Times New Roman" w:eastAsia="Times New Roman" w:hAnsi="Times New Roman" w:cs="Times New Roman"/>
          <w:sz w:val="24"/>
          <w:szCs w:val="24"/>
        </w:rPr>
        <w:t xml:space="preserve"> area between 2500 and 3230 m in elevation. Downstream from the Glengarry </w:t>
      </w:r>
      <w:proofErr w:type="spellStart"/>
      <w:r w:rsidRPr="00596F80">
        <w:rPr>
          <w:rFonts w:ascii="Times New Roman" w:eastAsia="Times New Roman" w:hAnsi="Times New Roman" w:cs="Times New Roman"/>
          <w:sz w:val="24"/>
          <w:szCs w:val="24"/>
        </w:rPr>
        <w:t>adit</w:t>
      </w:r>
      <w:proofErr w:type="spellEnd"/>
      <w:r w:rsidRPr="00596F80">
        <w:rPr>
          <w:rFonts w:ascii="Times New Roman" w:eastAsia="Times New Roman" w:hAnsi="Times New Roman" w:cs="Times New Roman"/>
          <w:sz w:val="24"/>
          <w:szCs w:val="24"/>
        </w:rPr>
        <w:t>, the pH of Fisher Creek</w:t>
      </w:r>
    </w:p>
    <w:p w:rsidR="00596F80" w:rsidRPr="00596F80" w:rsidRDefault="00596F80" w:rsidP="00596F80">
      <w:pPr>
        <w:spacing w:before="100" w:beforeAutospacing="1" w:after="100" w:afterAutospacing="1" w:line="240" w:lineRule="auto"/>
        <w:outlineLvl w:val="1"/>
        <w:rPr>
          <w:rFonts w:ascii="Times New Roman" w:eastAsia="Times New Roman" w:hAnsi="Times New Roman" w:cs="Times New Roman"/>
          <w:b/>
          <w:bCs/>
          <w:sz w:val="36"/>
          <w:szCs w:val="36"/>
        </w:rPr>
      </w:pPr>
      <w:r w:rsidRPr="00596F80">
        <w:rPr>
          <w:rFonts w:ascii="Times New Roman" w:eastAsia="Times New Roman" w:hAnsi="Times New Roman" w:cs="Times New Roman"/>
          <w:b/>
          <w:bCs/>
          <w:sz w:val="36"/>
          <w:szCs w:val="36"/>
        </w:rPr>
        <w:t>Field Methods</w:t>
      </w:r>
    </w:p>
    <w:p w:rsidR="00596F80" w:rsidRPr="00596F80" w:rsidRDefault="00596F80" w:rsidP="00596F80">
      <w:pPr>
        <w:spacing w:before="100" w:beforeAutospacing="1" w:after="100" w:afterAutospacing="1" w:line="240" w:lineRule="auto"/>
        <w:rPr>
          <w:rFonts w:ascii="Times New Roman" w:eastAsia="Times New Roman" w:hAnsi="Times New Roman" w:cs="Times New Roman"/>
          <w:sz w:val="24"/>
          <w:szCs w:val="24"/>
        </w:rPr>
      </w:pPr>
      <w:r w:rsidRPr="00596F80">
        <w:rPr>
          <w:rFonts w:ascii="Times New Roman" w:eastAsia="Times New Roman" w:hAnsi="Times New Roman" w:cs="Times New Roman"/>
          <w:sz w:val="24"/>
          <w:szCs w:val="24"/>
        </w:rPr>
        <w:t>All samples analyzed in this study were collected during the diel investigation of Fisher Creek conducted August 13–14, 2002. Gammons et al. (2005) describe the collection of samples and field measurements; only a brief summary is included here.</w:t>
      </w:r>
    </w:p>
    <w:p w:rsidR="00596F80" w:rsidRPr="00596F80" w:rsidRDefault="00596F80" w:rsidP="00596F80">
      <w:pPr>
        <w:spacing w:before="100" w:beforeAutospacing="1" w:after="100" w:afterAutospacing="1" w:line="240" w:lineRule="auto"/>
        <w:rPr>
          <w:rFonts w:ascii="Times New Roman" w:eastAsia="Times New Roman" w:hAnsi="Times New Roman" w:cs="Times New Roman"/>
          <w:sz w:val="24"/>
          <w:szCs w:val="24"/>
        </w:rPr>
      </w:pPr>
      <w:r w:rsidRPr="00596F80">
        <w:rPr>
          <w:rFonts w:ascii="Times New Roman" w:eastAsia="Times New Roman" w:hAnsi="Times New Roman" w:cs="Times New Roman"/>
          <w:sz w:val="24"/>
          <w:szCs w:val="24"/>
        </w:rPr>
        <w:lastRenderedPageBreak/>
        <w:t xml:space="preserve">Water temperature, pH, specific conductance (SC), dissolved oxygen, and streamflow were measured hourly at the three stations on Fisher Creek. Filtered and unfiltered water samples were collected hourly using automated samplers and were processed on site </w:t>
      </w:r>
    </w:p>
    <w:p w:rsidR="00596F80" w:rsidRPr="00596F80" w:rsidRDefault="00596F80" w:rsidP="00596F80">
      <w:pPr>
        <w:spacing w:before="100" w:beforeAutospacing="1" w:after="100" w:afterAutospacing="1" w:line="240" w:lineRule="auto"/>
        <w:outlineLvl w:val="1"/>
        <w:rPr>
          <w:rFonts w:ascii="Times New Roman" w:eastAsia="Times New Roman" w:hAnsi="Times New Roman" w:cs="Times New Roman"/>
          <w:b/>
          <w:bCs/>
          <w:sz w:val="36"/>
          <w:szCs w:val="36"/>
        </w:rPr>
      </w:pPr>
      <w:r w:rsidRPr="00596F80">
        <w:rPr>
          <w:rFonts w:ascii="Times New Roman" w:eastAsia="Times New Roman" w:hAnsi="Times New Roman" w:cs="Times New Roman"/>
          <w:b/>
          <w:bCs/>
          <w:sz w:val="36"/>
          <w:szCs w:val="36"/>
        </w:rPr>
        <w:t>Results</w:t>
      </w:r>
    </w:p>
    <w:p w:rsidR="00596F80" w:rsidRPr="00596F80" w:rsidRDefault="00596F80" w:rsidP="00596F80">
      <w:pPr>
        <w:spacing w:before="100" w:beforeAutospacing="1" w:after="100" w:afterAutospacing="1" w:line="240" w:lineRule="auto"/>
        <w:rPr>
          <w:rFonts w:ascii="Times New Roman" w:eastAsia="Times New Roman" w:hAnsi="Times New Roman" w:cs="Times New Roman"/>
          <w:sz w:val="24"/>
          <w:szCs w:val="24"/>
        </w:rPr>
      </w:pPr>
      <w:r w:rsidRPr="00596F80">
        <w:rPr>
          <w:rFonts w:ascii="Times New Roman" w:eastAsia="Times New Roman" w:hAnsi="Times New Roman" w:cs="Times New Roman"/>
          <w:sz w:val="24"/>
          <w:szCs w:val="24"/>
        </w:rPr>
        <w:t xml:space="preserve">Results for Fe, Cu, Al, Mn, Zn during the 2002 study of Fisher Creek have been previously described, as were diel variations in field parameters (Gammons et al., 2005). Results of all REE analyses are summarized in the Appendix. Time-averaged concentrations obtained at each station are summarized in Table 1. The samples are designated RA, FA, or UFA, which corresponds to raw-acidified, filtered (0.1μm)-acidified, and </w:t>
      </w:r>
      <w:proofErr w:type="spellStart"/>
      <w:r w:rsidRPr="00596F80">
        <w:rPr>
          <w:rFonts w:ascii="Times New Roman" w:eastAsia="Times New Roman" w:hAnsi="Times New Roman" w:cs="Times New Roman"/>
          <w:sz w:val="24"/>
          <w:szCs w:val="24"/>
        </w:rPr>
        <w:t>ultrafiltered</w:t>
      </w:r>
      <w:proofErr w:type="spellEnd"/>
      <w:r w:rsidRPr="00596F80">
        <w:rPr>
          <w:rFonts w:ascii="Times New Roman" w:eastAsia="Times New Roman" w:hAnsi="Times New Roman" w:cs="Times New Roman"/>
          <w:sz w:val="24"/>
          <w:szCs w:val="24"/>
        </w:rPr>
        <w:t xml:space="preserve"> (0.001 </w:t>
      </w:r>
      <w:proofErr w:type="spellStart"/>
      <w:r w:rsidRPr="00596F80">
        <w:rPr>
          <w:rFonts w:ascii="Times New Roman" w:eastAsia="Times New Roman" w:hAnsi="Times New Roman" w:cs="Times New Roman"/>
          <w:sz w:val="24"/>
          <w:szCs w:val="24"/>
        </w:rPr>
        <w:t>μm</w:t>
      </w:r>
      <w:proofErr w:type="spellEnd"/>
      <w:r w:rsidRPr="00596F80">
        <w:rPr>
          <w:rFonts w:ascii="Times New Roman" w:eastAsia="Times New Roman" w:hAnsi="Times New Roman" w:cs="Times New Roman"/>
          <w:sz w:val="24"/>
          <w:szCs w:val="24"/>
        </w:rPr>
        <w:t>)-acidified. In this paper, the term dissolved is</w:t>
      </w:r>
    </w:p>
    <w:p w:rsidR="00596F80" w:rsidRPr="00596F80" w:rsidRDefault="00596F80" w:rsidP="00596F80">
      <w:pPr>
        <w:spacing w:before="100" w:beforeAutospacing="1" w:after="100" w:afterAutospacing="1" w:line="240" w:lineRule="auto"/>
        <w:outlineLvl w:val="1"/>
        <w:rPr>
          <w:rFonts w:ascii="Times New Roman" w:eastAsia="Times New Roman" w:hAnsi="Times New Roman" w:cs="Times New Roman"/>
          <w:b/>
          <w:bCs/>
          <w:sz w:val="36"/>
          <w:szCs w:val="36"/>
        </w:rPr>
      </w:pPr>
      <w:r w:rsidRPr="00596F80">
        <w:rPr>
          <w:rFonts w:ascii="Times New Roman" w:eastAsia="Times New Roman" w:hAnsi="Times New Roman" w:cs="Times New Roman"/>
          <w:b/>
          <w:bCs/>
          <w:sz w:val="36"/>
          <w:szCs w:val="36"/>
        </w:rPr>
        <w:t>Aqueous Speciation of REE</w:t>
      </w:r>
    </w:p>
    <w:p w:rsidR="00596F80" w:rsidRPr="00596F80" w:rsidRDefault="00596F80" w:rsidP="00596F80">
      <w:pPr>
        <w:spacing w:before="100" w:beforeAutospacing="1" w:after="100" w:afterAutospacing="1" w:line="240" w:lineRule="auto"/>
        <w:rPr>
          <w:rFonts w:ascii="Times New Roman" w:eastAsia="Times New Roman" w:hAnsi="Times New Roman" w:cs="Times New Roman"/>
          <w:sz w:val="24"/>
          <w:szCs w:val="24"/>
        </w:rPr>
      </w:pPr>
      <w:r w:rsidRPr="00596F80">
        <w:rPr>
          <w:rFonts w:ascii="Times New Roman" w:eastAsia="Times New Roman" w:hAnsi="Times New Roman" w:cs="Times New Roman"/>
          <w:sz w:val="24"/>
          <w:szCs w:val="24"/>
        </w:rPr>
        <w:t xml:space="preserve">To help evaluate possible mechanisms for diel cycling and solid-phase partitioning of REE in Fisher Creek, the aqueous speciation of REE in Fisher Creek was investigated using the program Visual </w:t>
      </w:r>
      <w:proofErr w:type="spellStart"/>
      <w:r w:rsidRPr="00596F80">
        <w:rPr>
          <w:rFonts w:ascii="Times New Roman" w:eastAsia="Times New Roman" w:hAnsi="Times New Roman" w:cs="Times New Roman"/>
          <w:sz w:val="24"/>
          <w:szCs w:val="24"/>
        </w:rPr>
        <w:t>Minteq</w:t>
      </w:r>
      <w:proofErr w:type="spellEnd"/>
      <w:r w:rsidRPr="00596F80">
        <w:rPr>
          <w:rFonts w:ascii="Times New Roman" w:eastAsia="Times New Roman" w:hAnsi="Times New Roman" w:cs="Times New Roman"/>
          <w:sz w:val="24"/>
          <w:szCs w:val="24"/>
        </w:rPr>
        <w:t xml:space="preserve"> (version 2.2, a recent adaption of the original code written by Allison et al., 1991). The Visual </w:t>
      </w:r>
      <w:proofErr w:type="spellStart"/>
      <w:r w:rsidRPr="00596F80">
        <w:rPr>
          <w:rFonts w:ascii="Times New Roman" w:eastAsia="Times New Roman" w:hAnsi="Times New Roman" w:cs="Times New Roman"/>
          <w:sz w:val="24"/>
          <w:szCs w:val="24"/>
        </w:rPr>
        <w:t>Minteq</w:t>
      </w:r>
      <w:proofErr w:type="spellEnd"/>
      <w:r w:rsidRPr="00596F80">
        <w:rPr>
          <w:rFonts w:ascii="Times New Roman" w:eastAsia="Times New Roman" w:hAnsi="Times New Roman" w:cs="Times New Roman"/>
          <w:sz w:val="24"/>
          <w:szCs w:val="24"/>
        </w:rPr>
        <w:t xml:space="preserve"> database contains thermodynamic data for most of the common REE solids (oxides, hydroxides, carbonates, phosphates) as well as the principal aqueous species (complexes with carbonate, sulfate, </w:t>
      </w:r>
    </w:p>
    <w:p w:rsidR="00596F80" w:rsidRPr="00596F80" w:rsidRDefault="00596F80" w:rsidP="00596F80">
      <w:pPr>
        <w:spacing w:before="100" w:beforeAutospacing="1" w:after="100" w:afterAutospacing="1" w:line="240" w:lineRule="auto"/>
        <w:outlineLvl w:val="1"/>
        <w:rPr>
          <w:rFonts w:ascii="Times New Roman" w:eastAsia="Times New Roman" w:hAnsi="Times New Roman" w:cs="Times New Roman"/>
          <w:b/>
          <w:bCs/>
          <w:sz w:val="36"/>
          <w:szCs w:val="36"/>
        </w:rPr>
      </w:pPr>
      <w:r w:rsidRPr="00596F80">
        <w:rPr>
          <w:rFonts w:ascii="Times New Roman" w:eastAsia="Times New Roman" w:hAnsi="Times New Roman" w:cs="Times New Roman"/>
          <w:b/>
          <w:bCs/>
          <w:sz w:val="36"/>
          <w:szCs w:val="36"/>
        </w:rPr>
        <w:t>Summary</w:t>
      </w:r>
    </w:p>
    <w:p w:rsidR="00596F80" w:rsidRPr="00596F80" w:rsidRDefault="00596F80" w:rsidP="00596F80">
      <w:pPr>
        <w:spacing w:before="100" w:beforeAutospacing="1" w:after="100" w:afterAutospacing="1" w:line="240" w:lineRule="auto"/>
        <w:rPr>
          <w:rFonts w:ascii="Times New Roman" w:eastAsia="Times New Roman" w:hAnsi="Times New Roman" w:cs="Times New Roman"/>
          <w:sz w:val="24"/>
          <w:szCs w:val="24"/>
        </w:rPr>
      </w:pPr>
      <w:r w:rsidRPr="00596F80">
        <w:rPr>
          <w:rFonts w:ascii="Times New Roman" w:eastAsia="Times New Roman" w:hAnsi="Times New Roman" w:cs="Times New Roman"/>
          <w:sz w:val="24"/>
          <w:szCs w:val="24"/>
        </w:rPr>
        <w:t xml:space="preserve">The most significant result of this study is the discovery of diel fluctuations in dissolved and particulate REE concentrations in a stream in which hydrous metal oxides were actively precipitating in response to downstream increases in </w:t>
      </w:r>
      <w:proofErr w:type="spellStart"/>
      <w:r w:rsidRPr="00596F80">
        <w:rPr>
          <w:rFonts w:ascii="Times New Roman" w:eastAsia="Times New Roman" w:hAnsi="Times New Roman" w:cs="Times New Roman"/>
          <w:sz w:val="24"/>
          <w:szCs w:val="24"/>
        </w:rPr>
        <w:t>pH.</w:t>
      </w:r>
      <w:proofErr w:type="spellEnd"/>
      <w:r w:rsidRPr="00596F80">
        <w:rPr>
          <w:rFonts w:ascii="Times New Roman" w:eastAsia="Times New Roman" w:hAnsi="Times New Roman" w:cs="Times New Roman"/>
          <w:sz w:val="24"/>
          <w:szCs w:val="24"/>
        </w:rPr>
        <w:t xml:space="preserve"> The diel variations in REE concentrations were shown to be quite large (on average, about a fivefold increase in dissolved REE concentration during the night) at the most downstream monitoring station, which had an average 24-h pH of 6.8. Most of the REE</w:t>
      </w:r>
    </w:p>
    <w:p w:rsidR="00596F80" w:rsidRPr="00596F80" w:rsidRDefault="00596F80" w:rsidP="00596F80">
      <w:pPr>
        <w:spacing w:before="100" w:beforeAutospacing="1" w:after="100" w:afterAutospacing="1" w:line="240" w:lineRule="auto"/>
        <w:outlineLvl w:val="1"/>
        <w:rPr>
          <w:rFonts w:ascii="Times New Roman" w:eastAsia="Times New Roman" w:hAnsi="Times New Roman" w:cs="Times New Roman"/>
          <w:b/>
          <w:bCs/>
          <w:sz w:val="36"/>
          <w:szCs w:val="36"/>
        </w:rPr>
      </w:pPr>
      <w:r w:rsidRPr="00596F80">
        <w:rPr>
          <w:rFonts w:ascii="Times New Roman" w:eastAsia="Times New Roman" w:hAnsi="Times New Roman" w:cs="Times New Roman"/>
          <w:b/>
          <w:bCs/>
          <w:sz w:val="36"/>
          <w:szCs w:val="36"/>
        </w:rPr>
        <w:t>Acknowledgments</w:t>
      </w:r>
    </w:p>
    <w:p w:rsidR="00596F80" w:rsidRPr="00596F80" w:rsidRDefault="00596F80" w:rsidP="00596F80">
      <w:pPr>
        <w:spacing w:before="100" w:beforeAutospacing="1" w:after="100" w:afterAutospacing="1" w:line="240" w:lineRule="auto"/>
        <w:rPr>
          <w:rFonts w:ascii="Times New Roman" w:eastAsia="Times New Roman" w:hAnsi="Times New Roman" w:cs="Times New Roman"/>
          <w:sz w:val="24"/>
          <w:szCs w:val="24"/>
        </w:rPr>
      </w:pPr>
      <w:r w:rsidRPr="00596F80">
        <w:rPr>
          <w:rFonts w:ascii="Times New Roman" w:eastAsia="Times New Roman" w:hAnsi="Times New Roman" w:cs="Times New Roman"/>
          <w:sz w:val="24"/>
          <w:szCs w:val="24"/>
        </w:rPr>
        <w:t>This study was supported by EPA-</w:t>
      </w:r>
      <w:proofErr w:type="spellStart"/>
      <w:r w:rsidRPr="00596F80">
        <w:rPr>
          <w:rFonts w:ascii="Times New Roman" w:eastAsia="Times New Roman" w:hAnsi="Times New Roman" w:cs="Times New Roman"/>
          <w:sz w:val="24"/>
          <w:szCs w:val="24"/>
        </w:rPr>
        <w:t>EPSCoR</w:t>
      </w:r>
      <w:proofErr w:type="spellEnd"/>
      <w:r w:rsidRPr="00596F80">
        <w:rPr>
          <w:rFonts w:ascii="Times New Roman" w:eastAsia="Times New Roman" w:hAnsi="Times New Roman" w:cs="Times New Roman"/>
          <w:sz w:val="24"/>
          <w:szCs w:val="24"/>
        </w:rPr>
        <w:t xml:space="preserve">, the Montana Board of Research and Commercialization, the U. S. Geological Survey Toxic Substances Hydrology Program, and the USDA Forest Service. The manuscript benefited from technical reviews by Phil </w:t>
      </w:r>
      <w:proofErr w:type="spellStart"/>
      <w:r w:rsidRPr="00596F80">
        <w:rPr>
          <w:rFonts w:ascii="Times New Roman" w:eastAsia="Times New Roman" w:hAnsi="Times New Roman" w:cs="Times New Roman"/>
          <w:sz w:val="24"/>
          <w:szCs w:val="24"/>
        </w:rPr>
        <w:t>Verplanck</w:t>
      </w:r>
      <w:proofErr w:type="spellEnd"/>
      <w:r w:rsidRPr="00596F80">
        <w:rPr>
          <w:rFonts w:ascii="Times New Roman" w:eastAsia="Times New Roman" w:hAnsi="Times New Roman" w:cs="Times New Roman"/>
          <w:sz w:val="24"/>
          <w:szCs w:val="24"/>
        </w:rPr>
        <w:t xml:space="preserve">, Richard </w:t>
      </w:r>
      <w:proofErr w:type="spellStart"/>
      <w:r w:rsidRPr="00596F80">
        <w:rPr>
          <w:rFonts w:ascii="Times New Roman" w:eastAsia="Times New Roman" w:hAnsi="Times New Roman" w:cs="Times New Roman"/>
          <w:sz w:val="24"/>
          <w:szCs w:val="24"/>
        </w:rPr>
        <w:t>Wanty</w:t>
      </w:r>
      <w:proofErr w:type="spellEnd"/>
      <w:r w:rsidRPr="00596F80">
        <w:rPr>
          <w:rFonts w:ascii="Times New Roman" w:eastAsia="Times New Roman" w:hAnsi="Times New Roman" w:cs="Times New Roman"/>
          <w:sz w:val="24"/>
          <w:szCs w:val="24"/>
        </w:rPr>
        <w:t xml:space="preserve">, Karen </w:t>
      </w:r>
      <w:proofErr w:type="spellStart"/>
      <w:r w:rsidRPr="00596F80">
        <w:rPr>
          <w:rFonts w:ascii="Times New Roman" w:eastAsia="Times New Roman" w:hAnsi="Times New Roman" w:cs="Times New Roman"/>
          <w:sz w:val="24"/>
          <w:szCs w:val="24"/>
        </w:rPr>
        <w:t>Johannesson</w:t>
      </w:r>
      <w:proofErr w:type="spellEnd"/>
      <w:r w:rsidRPr="00596F80">
        <w:rPr>
          <w:rFonts w:ascii="Times New Roman" w:eastAsia="Times New Roman" w:hAnsi="Times New Roman" w:cs="Times New Roman"/>
          <w:sz w:val="24"/>
          <w:szCs w:val="24"/>
        </w:rPr>
        <w:t xml:space="preserve">, Jerome </w:t>
      </w:r>
      <w:proofErr w:type="spellStart"/>
      <w:r w:rsidRPr="00596F80">
        <w:rPr>
          <w:rFonts w:ascii="Times New Roman" w:eastAsia="Times New Roman" w:hAnsi="Times New Roman" w:cs="Times New Roman"/>
          <w:sz w:val="24"/>
          <w:szCs w:val="24"/>
        </w:rPr>
        <w:t>Viers</w:t>
      </w:r>
      <w:proofErr w:type="spellEnd"/>
      <w:r w:rsidRPr="00596F80">
        <w:rPr>
          <w:rFonts w:ascii="Times New Roman" w:eastAsia="Times New Roman" w:hAnsi="Times New Roman" w:cs="Times New Roman"/>
          <w:sz w:val="24"/>
          <w:szCs w:val="24"/>
        </w:rPr>
        <w:t>, and an anonymous reviewer. Special thanks are due to Bethany Nelson, who performed the REE analyses and assisted with the data reduction. The use of firm, trade, or brand names in this paper is for</w:t>
      </w:r>
    </w:p>
    <w:p w:rsidR="00941A96" w:rsidRDefault="00941A96"/>
    <w:sectPr w:rsidR="00941A96">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6F80"/>
    <w:rsid w:val="00596F80"/>
    <w:rsid w:val="00941A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792BAC"/>
  <w15:chartTrackingRefBased/>
  <w15:docId w15:val="{793932E7-2F6F-4C5D-AEAB-CCCF0F9AE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96881364">
      <w:bodyDiv w:val="1"/>
      <w:marLeft w:val="0"/>
      <w:marRight w:val="0"/>
      <w:marTop w:val="0"/>
      <w:marBottom w:val="0"/>
      <w:divBdr>
        <w:top w:val="none" w:sz="0" w:space="0" w:color="auto"/>
        <w:left w:val="none" w:sz="0" w:space="0" w:color="auto"/>
        <w:bottom w:val="none" w:sz="0" w:space="0" w:color="auto"/>
        <w:right w:val="none" w:sz="0" w:space="0" w:color="auto"/>
      </w:divBdr>
      <w:divsChild>
        <w:div w:id="399719674">
          <w:marLeft w:val="0"/>
          <w:marRight w:val="0"/>
          <w:marTop w:val="0"/>
          <w:marBottom w:val="0"/>
          <w:divBdr>
            <w:top w:val="none" w:sz="0" w:space="0" w:color="auto"/>
            <w:left w:val="none" w:sz="0" w:space="0" w:color="auto"/>
            <w:bottom w:val="none" w:sz="0" w:space="0" w:color="auto"/>
            <w:right w:val="none" w:sz="0" w:space="0" w:color="auto"/>
          </w:divBdr>
          <w:divsChild>
            <w:div w:id="1545488346">
              <w:marLeft w:val="0"/>
              <w:marRight w:val="0"/>
              <w:marTop w:val="0"/>
              <w:marBottom w:val="0"/>
              <w:divBdr>
                <w:top w:val="none" w:sz="0" w:space="0" w:color="auto"/>
                <w:left w:val="none" w:sz="0" w:space="0" w:color="auto"/>
                <w:bottom w:val="none" w:sz="0" w:space="0" w:color="auto"/>
                <w:right w:val="none" w:sz="0" w:space="0" w:color="auto"/>
              </w:divBdr>
              <w:divsChild>
                <w:div w:id="1575775642">
                  <w:marLeft w:val="0"/>
                  <w:marRight w:val="0"/>
                  <w:marTop w:val="0"/>
                  <w:marBottom w:val="0"/>
                  <w:divBdr>
                    <w:top w:val="none" w:sz="0" w:space="0" w:color="auto"/>
                    <w:left w:val="none" w:sz="0" w:space="0" w:color="auto"/>
                    <w:bottom w:val="none" w:sz="0" w:space="0" w:color="auto"/>
                    <w:right w:val="none" w:sz="0" w:space="0" w:color="auto"/>
                  </w:divBdr>
                  <w:divsChild>
                    <w:div w:id="1856992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2448533">
          <w:marLeft w:val="0"/>
          <w:marRight w:val="0"/>
          <w:marTop w:val="0"/>
          <w:marBottom w:val="0"/>
          <w:divBdr>
            <w:top w:val="none" w:sz="0" w:space="0" w:color="auto"/>
            <w:left w:val="none" w:sz="0" w:space="0" w:color="auto"/>
            <w:bottom w:val="none" w:sz="0" w:space="0" w:color="auto"/>
            <w:right w:val="none" w:sz="0" w:space="0" w:color="auto"/>
          </w:divBdr>
          <w:divsChild>
            <w:div w:id="1473478480">
              <w:marLeft w:val="0"/>
              <w:marRight w:val="0"/>
              <w:marTop w:val="0"/>
              <w:marBottom w:val="0"/>
              <w:divBdr>
                <w:top w:val="none" w:sz="0" w:space="0" w:color="auto"/>
                <w:left w:val="none" w:sz="0" w:space="0" w:color="auto"/>
                <w:bottom w:val="none" w:sz="0" w:space="0" w:color="auto"/>
                <w:right w:val="none" w:sz="0" w:space="0" w:color="auto"/>
              </w:divBdr>
              <w:divsChild>
                <w:div w:id="1807425991">
                  <w:marLeft w:val="0"/>
                  <w:marRight w:val="0"/>
                  <w:marTop w:val="0"/>
                  <w:marBottom w:val="0"/>
                  <w:divBdr>
                    <w:top w:val="none" w:sz="0" w:space="0" w:color="auto"/>
                    <w:left w:val="none" w:sz="0" w:space="0" w:color="auto"/>
                    <w:bottom w:val="none" w:sz="0" w:space="0" w:color="auto"/>
                    <w:right w:val="none" w:sz="0" w:space="0" w:color="auto"/>
                  </w:divBdr>
                  <w:divsChild>
                    <w:div w:id="1478188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3876927">
          <w:marLeft w:val="0"/>
          <w:marRight w:val="0"/>
          <w:marTop w:val="0"/>
          <w:marBottom w:val="0"/>
          <w:divBdr>
            <w:top w:val="none" w:sz="0" w:space="0" w:color="auto"/>
            <w:left w:val="none" w:sz="0" w:space="0" w:color="auto"/>
            <w:bottom w:val="none" w:sz="0" w:space="0" w:color="auto"/>
            <w:right w:val="none" w:sz="0" w:space="0" w:color="auto"/>
          </w:divBdr>
          <w:divsChild>
            <w:div w:id="1881353537">
              <w:marLeft w:val="0"/>
              <w:marRight w:val="0"/>
              <w:marTop w:val="0"/>
              <w:marBottom w:val="0"/>
              <w:divBdr>
                <w:top w:val="none" w:sz="0" w:space="0" w:color="auto"/>
                <w:left w:val="none" w:sz="0" w:space="0" w:color="auto"/>
                <w:bottom w:val="none" w:sz="0" w:space="0" w:color="auto"/>
                <w:right w:val="none" w:sz="0" w:space="0" w:color="auto"/>
              </w:divBdr>
            </w:div>
          </w:divsChild>
        </w:div>
        <w:div w:id="1768116354">
          <w:marLeft w:val="0"/>
          <w:marRight w:val="0"/>
          <w:marTop w:val="0"/>
          <w:marBottom w:val="0"/>
          <w:divBdr>
            <w:top w:val="none" w:sz="0" w:space="0" w:color="auto"/>
            <w:left w:val="none" w:sz="0" w:space="0" w:color="auto"/>
            <w:bottom w:val="none" w:sz="0" w:space="0" w:color="auto"/>
            <w:right w:val="none" w:sz="0" w:space="0" w:color="auto"/>
          </w:divBdr>
          <w:divsChild>
            <w:div w:id="232081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diel-variation"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partition-coefficien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headwater"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rare-earth-element" TargetMode="External"/><Relationship Id="rId10" Type="http://schemas.openxmlformats.org/officeDocument/2006/relationships/fontTable" Target="fontTable.xml"/><Relationship Id="rId4" Type="http://schemas.openxmlformats.org/officeDocument/2006/relationships/hyperlink" Target="https://doi.org/10.1016/j.gca.2005.03.019" TargetMode="External"/><Relationship Id="rId9" Type="http://schemas.openxmlformats.org/officeDocument/2006/relationships/hyperlink" Target="https://www.sciencedirect.com/topics/earth-and-planetary-sciences/metal-oxi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1468</Words>
  <Characters>8373</Characters>
  <Application>Microsoft Office Word</Application>
  <DocSecurity>0</DocSecurity>
  <Lines>69</Lines>
  <Paragraphs>19</Paragraphs>
  <ScaleCrop>false</ScaleCrop>
  <Company/>
  <LinksUpToDate>false</LinksUpToDate>
  <CharactersWithSpaces>9822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2023-11-18T06:29:00Z</dcterms:created>
  <dcterms:modified xsi:type="dcterms:W3CDTF">2023-11-18T06:29:00Z</dcterms:modified>
</cp:coreProperties>
</file>