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D2198F" w:rsidRPr="00D2198F" w:rsidRDefault="00D2198F" w:rsidP="00D2198F">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D2198F">
        <w:rPr>
          <w:rFonts w:ascii="Times New Roman" w:eastAsia="Times New Roman" w:hAnsi="Times New Roman" w:cs="Times New Roman"/>
          <w:b/>
          <w:bCs/>
          <w:kern w:val="36"/>
          <w:sz w:val="48"/>
          <w:szCs w:val="48"/>
        </w:rPr>
        <w:t>How do mineral coatings affect dissolution rates? An experimental study of coupled CaCO</w:t>
      </w:r>
      <w:r w:rsidRPr="00D2198F">
        <w:rPr>
          <w:rFonts w:ascii="Times New Roman" w:eastAsia="Times New Roman" w:hAnsi="Times New Roman" w:cs="Times New Roman"/>
          <w:b/>
          <w:bCs/>
          <w:kern w:val="36"/>
          <w:sz w:val="48"/>
          <w:szCs w:val="48"/>
          <w:vertAlign w:val="subscript"/>
        </w:rPr>
        <w:t>3</w:t>
      </w:r>
      <w:r w:rsidRPr="00D2198F">
        <w:rPr>
          <w:rFonts w:ascii="Times New Roman" w:eastAsia="Times New Roman" w:hAnsi="Times New Roman" w:cs="Times New Roman"/>
          <w:b/>
          <w:bCs/>
          <w:kern w:val="36"/>
          <w:sz w:val="48"/>
          <w:szCs w:val="48"/>
        </w:rPr>
        <w:t xml:space="preserve"> dissolution—CdCO</w:t>
      </w:r>
      <w:r w:rsidRPr="00D2198F">
        <w:rPr>
          <w:rFonts w:ascii="Times New Roman" w:eastAsia="Times New Roman" w:hAnsi="Times New Roman" w:cs="Times New Roman"/>
          <w:b/>
          <w:bCs/>
          <w:kern w:val="36"/>
          <w:sz w:val="48"/>
          <w:szCs w:val="48"/>
          <w:vertAlign w:val="subscript"/>
        </w:rPr>
        <w:t>3</w:t>
      </w:r>
      <w:r w:rsidRPr="00D2198F">
        <w:rPr>
          <w:rFonts w:ascii="Times New Roman" w:eastAsia="Times New Roman" w:hAnsi="Times New Roman" w:cs="Times New Roman"/>
          <w:b/>
          <w:bCs/>
          <w:kern w:val="36"/>
          <w:sz w:val="48"/>
          <w:szCs w:val="48"/>
        </w:rPr>
        <w:t xml:space="preserve"> precipitation</w:t>
      </w:r>
    </w:p>
    <w:p w:rsidR="00D2198F" w:rsidRPr="00D2198F" w:rsidRDefault="00D2198F" w:rsidP="00D2198F">
      <w:pPr>
        <w:spacing w:after="0"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Author links open overlay panel</w:t>
      </w:r>
    </w:p>
    <w:p w:rsidR="00D2198F" w:rsidRPr="00D2198F" w:rsidRDefault="00D2198F" w:rsidP="00D2198F">
      <w:pPr>
        <w:spacing w:after="0"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 xml:space="preserve">, , , </w:t>
      </w:r>
    </w:p>
    <w:p w:rsidR="00D2198F" w:rsidRPr="00D2198F" w:rsidRDefault="00D2198F" w:rsidP="00D2198F">
      <w:pPr>
        <w:spacing w:after="0"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 xml:space="preserve">, </w:t>
      </w:r>
      <w:bookmarkStart w:id="0" w:name="baep-author-id22-profile"/>
      <w:r w:rsidRPr="00D2198F">
        <w:rPr>
          <w:rFonts w:ascii="Times New Roman" w:eastAsia="Times New Roman" w:hAnsi="Times New Roman" w:cs="Times New Roman"/>
          <w:sz w:val="24"/>
          <w:szCs w:val="24"/>
        </w:rPr>
        <w:fldChar w:fldCharType="begin"/>
      </w:r>
      <w:r w:rsidRPr="00D2198F">
        <w:rPr>
          <w:rFonts w:ascii="Times New Roman" w:eastAsia="Times New Roman" w:hAnsi="Times New Roman" w:cs="Times New Roman"/>
          <w:sz w:val="24"/>
          <w:szCs w:val="24"/>
        </w:rPr>
        <w:instrText xml:space="preserve"> HYPERLINK "https://www.sciencedirect.com/author/35280527300/eric-h-oelkers" </w:instrText>
      </w:r>
      <w:r w:rsidRPr="00D2198F">
        <w:rPr>
          <w:rFonts w:ascii="Times New Roman" w:eastAsia="Times New Roman" w:hAnsi="Times New Roman" w:cs="Times New Roman"/>
          <w:sz w:val="24"/>
          <w:szCs w:val="24"/>
        </w:rPr>
        <w:fldChar w:fldCharType="separate"/>
      </w:r>
      <w:r w:rsidRPr="00D2198F">
        <w:rPr>
          <w:rFonts w:ascii="Times New Roman" w:eastAsia="Times New Roman" w:hAnsi="Times New Roman" w:cs="Times New Roman"/>
          <w:color w:val="0000FF"/>
          <w:sz w:val="24"/>
          <w:szCs w:val="24"/>
          <w:u w:val="single"/>
        </w:rPr>
        <w:t xml:space="preserve">Eric H. </w:t>
      </w:r>
      <w:proofErr w:type="spellStart"/>
      <w:r w:rsidRPr="00D2198F">
        <w:rPr>
          <w:rFonts w:ascii="Times New Roman" w:eastAsia="Times New Roman" w:hAnsi="Times New Roman" w:cs="Times New Roman"/>
          <w:color w:val="0000FF"/>
          <w:sz w:val="24"/>
          <w:szCs w:val="24"/>
          <w:u w:val="single"/>
        </w:rPr>
        <w:t>Oelkers</w:t>
      </w:r>
      <w:proofErr w:type="spellEnd"/>
      <w:r w:rsidRPr="00D2198F">
        <w:rPr>
          <w:rFonts w:ascii="Times New Roman" w:eastAsia="Times New Roman" w:hAnsi="Times New Roman" w:cs="Times New Roman"/>
          <w:color w:val="0000FF"/>
          <w:sz w:val="24"/>
          <w:szCs w:val="24"/>
          <w:u w:val="single"/>
        </w:rPr>
        <w:t xml:space="preserve"> </w:t>
      </w:r>
      <w:r w:rsidRPr="00D2198F">
        <w:rPr>
          <w:rFonts w:ascii="Times New Roman" w:eastAsia="Times New Roman" w:hAnsi="Times New Roman" w:cs="Times New Roman"/>
          <w:color w:val="0000FF"/>
          <w:sz w:val="24"/>
          <w:szCs w:val="24"/>
          <w:u w:val="single"/>
          <w:vertAlign w:val="superscript"/>
        </w:rPr>
        <w:t>3</w:t>
      </w:r>
      <w:r w:rsidRPr="00D2198F">
        <w:rPr>
          <w:rFonts w:ascii="Times New Roman" w:eastAsia="Times New Roman" w:hAnsi="Times New Roman" w:cs="Times New Roman"/>
          <w:sz w:val="24"/>
          <w:szCs w:val="24"/>
        </w:rPr>
        <w:fldChar w:fldCharType="end"/>
      </w:r>
      <w:bookmarkEnd w:id="0"/>
    </w:p>
    <w:p w:rsidR="00D2198F" w:rsidRPr="00D2198F" w:rsidRDefault="00D2198F" w:rsidP="00D2198F">
      <w:pPr>
        <w:spacing w:after="0" w:line="240" w:lineRule="auto"/>
        <w:rPr>
          <w:rFonts w:ascii="Times New Roman" w:eastAsia="Times New Roman" w:hAnsi="Times New Roman" w:cs="Times New Roman"/>
          <w:sz w:val="24"/>
          <w:szCs w:val="24"/>
        </w:rPr>
      </w:pPr>
      <w:hyperlink r:id="rId5" w:tgtFrame="_blank" w:tooltip="Persistent link using digital object identifier" w:history="1">
        <w:r w:rsidRPr="00D2198F">
          <w:rPr>
            <w:rFonts w:ascii="Times New Roman" w:eastAsia="Times New Roman" w:hAnsi="Times New Roman" w:cs="Times New Roman"/>
            <w:color w:val="0000FF"/>
            <w:sz w:val="24"/>
            <w:szCs w:val="24"/>
            <w:u w:val="single"/>
          </w:rPr>
          <w:t>https://doi.org/10.1016/j.gca.2005.07.016</w:t>
        </w:r>
      </w:hyperlink>
      <w:bookmarkStart w:id="1" w:name="_GoBack"/>
      <w:bookmarkEnd w:id="1"/>
      <w:r w:rsidRPr="00D2198F">
        <w:rPr>
          <w:rFonts w:ascii="Times New Roman" w:eastAsia="Times New Roman" w:hAnsi="Times New Roman" w:cs="Times New Roman"/>
          <w:sz w:val="24"/>
          <w:szCs w:val="24"/>
        </w:rPr>
        <w:t xml:space="preserve"> </w:t>
      </w:r>
    </w:p>
    <w:p w:rsidR="00D2198F" w:rsidRPr="00D2198F" w:rsidRDefault="00D2198F" w:rsidP="00D2198F">
      <w:pPr>
        <w:spacing w:before="100" w:beforeAutospacing="1" w:after="100" w:afterAutospacing="1" w:line="240" w:lineRule="auto"/>
        <w:outlineLvl w:val="1"/>
        <w:rPr>
          <w:rFonts w:ascii="Times New Roman" w:eastAsia="Times New Roman" w:hAnsi="Times New Roman" w:cs="Times New Roman"/>
          <w:b/>
          <w:bCs/>
          <w:sz w:val="36"/>
          <w:szCs w:val="36"/>
        </w:rPr>
      </w:pPr>
      <w:r w:rsidRPr="00D2198F">
        <w:rPr>
          <w:rFonts w:ascii="Times New Roman" w:eastAsia="Times New Roman" w:hAnsi="Times New Roman" w:cs="Times New Roman"/>
          <w:b/>
          <w:bCs/>
          <w:sz w:val="36"/>
          <w:szCs w:val="36"/>
        </w:rPr>
        <w:t>Abstract</w:t>
      </w:r>
    </w:p>
    <w:p w:rsidR="00D2198F" w:rsidRPr="00D2198F" w:rsidRDefault="00D2198F" w:rsidP="00D2198F">
      <w:p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Coupled CaCO</w:t>
      </w:r>
      <w:r w:rsidRPr="00D2198F">
        <w:rPr>
          <w:rFonts w:ascii="Times New Roman" w:eastAsia="Times New Roman" w:hAnsi="Times New Roman" w:cs="Times New Roman"/>
          <w:sz w:val="24"/>
          <w:szCs w:val="24"/>
          <w:vertAlign w:val="subscript"/>
        </w:rPr>
        <w:t>3</w:t>
      </w:r>
      <w:r w:rsidRPr="00D2198F">
        <w:rPr>
          <w:rFonts w:ascii="Times New Roman" w:eastAsia="Times New Roman" w:hAnsi="Times New Roman" w:cs="Times New Roman"/>
          <w:sz w:val="24"/>
          <w:szCs w:val="24"/>
        </w:rPr>
        <w:t xml:space="preserve"> dissolution-otavite (CdCO</w:t>
      </w:r>
      <w:r w:rsidRPr="00D2198F">
        <w:rPr>
          <w:rFonts w:ascii="Times New Roman" w:eastAsia="Times New Roman" w:hAnsi="Times New Roman" w:cs="Times New Roman"/>
          <w:sz w:val="24"/>
          <w:szCs w:val="24"/>
          <w:vertAlign w:val="subscript"/>
        </w:rPr>
        <w:t>3</w:t>
      </w:r>
      <w:r w:rsidRPr="00D2198F">
        <w:rPr>
          <w:rFonts w:ascii="Times New Roman" w:eastAsia="Times New Roman" w:hAnsi="Times New Roman" w:cs="Times New Roman"/>
          <w:sz w:val="24"/>
          <w:szCs w:val="24"/>
        </w:rPr>
        <w:t>) precipitation experiments have been performed to 1) quantify the effect of mineral coatings on dissolution rates, and 2) to explore the possible application of this coupled process to the remediation of polluted waters. All experiments were performed at 25°C in mixed-flow reactors. Various CaCO</w:t>
      </w:r>
      <w:r w:rsidRPr="00D2198F">
        <w:rPr>
          <w:rFonts w:ascii="Times New Roman" w:eastAsia="Times New Roman" w:hAnsi="Times New Roman" w:cs="Times New Roman"/>
          <w:sz w:val="24"/>
          <w:szCs w:val="24"/>
          <w:vertAlign w:val="subscript"/>
        </w:rPr>
        <w:t>3</w:t>
      </w:r>
      <w:r w:rsidRPr="00D2198F">
        <w:rPr>
          <w:rFonts w:ascii="Times New Roman" w:eastAsia="Times New Roman" w:hAnsi="Times New Roman" w:cs="Times New Roman"/>
          <w:sz w:val="24"/>
          <w:szCs w:val="24"/>
        </w:rPr>
        <w:t xml:space="preserve"> solids were used in the experiments including calcite, </w:t>
      </w:r>
      <w:hyperlink r:id="rId6" w:tooltip="Learn more about aragonite from ScienceDirect's AI-generated Topic Pages" w:history="1">
        <w:r w:rsidRPr="00D2198F">
          <w:rPr>
            <w:rFonts w:ascii="Times New Roman" w:eastAsia="Times New Roman" w:hAnsi="Times New Roman" w:cs="Times New Roman"/>
            <w:color w:val="0000FF"/>
            <w:sz w:val="24"/>
            <w:szCs w:val="24"/>
            <w:u w:val="single"/>
          </w:rPr>
          <w:t>aragonite</w:t>
        </w:r>
      </w:hyperlink>
      <w:r w:rsidRPr="00D2198F">
        <w:rPr>
          <w:rFonts w:ascii="Times New Roman" w:eastAsia="Times New Roman" w:hAnsi="Times New Roman" w:cs="Times New Roman"/>
          <w:sz w:val="24"/>
          <w:szCs w:val="24"/>
        </w:rPr>
        <w:t xml:space="preserve">, and ground clam, mussel, and cockle shells. Precipitation was induced by the presence of </w:t>
      </w:r>
      <w:proofErr w:type="gramStart"/>
      <w:r w:rsidRPr="00D2198F">
        <w:rPr>
          <w:rFonts w:ascii="Times New Roman" w:eastAsia="Times New Roman" w:hAnsi="Times New Roman" w:cs="Times New Roman"/>
          <w:sz w:val="24"/>
          <w:szCs w:val="24"/>
        </w:rPr>
        <w:t>Cd(</w:t>
      </w:r>
      <w:proofErr w:type="gramEnd"/>
      <w:r w:rsidRPr="00D2198F">
        <w:rPr>
          <w:rFonts w:ascii="Times New Roman" w:eastAsia="Times New Roman" w:hAnsi="Times New Roman" w:cs="Times New Roman"/>
          <w:sz w:val="24"/>
          <w:szCs w:val="24"/>
        </w:rPr>
        <w:t>NO</w:t>
      </w:r>
      <w:r w:rsidRPr="00D2198F">
        <w:rPr>
          <w:rFonts w:ascii="Times New Roman" w:eastAsia="Times New Roman" w:hAnsi="Times New Roman" w:cs="Times New Roman"/>
          <w:sz w:val="24"/>
          <w:szCs w:val="24"/>
          <w:vertAlign w:val="subscript"/>
        </w:rPr>
        <w:t>3</w:t>
      </w:r>
      <w:r w:rsidRPr="00D2198F">
        <w:rPr>
          <w:rFonts w:ascii="Times New Roman" w:eastAsia="Times New Roman" w:hAnsi="Times New Roman" w:cs="Times New Roman"/>
          <w:sz w:val="24"/>
          <w:szCs w:val="24"/>
        </w:rPr>
        <w:t>)</w:t>
      </w:r>
      <w:r w:rsidRPr="00D2198F">
        <w:rPr>
          <w:rFonts w:ascii="Times New Roman" w:eastAsia="Times New Roman" w:hAnsi="Times New Roman" w:cs="Times New Roman"/>
          <w:sz w:val="24"/>
          <w:szCs w:val="24"/>
          <w:vertAlign w:val="subscript"/>
        </w:rPr>
        <w:t>2</w:t>
      </w:r>
      <w:r w:rsidRPr="00D2198F">
        <w:rPr>
          <w:rFonts w:ascii="Times New Roman" w:eastAsia="Times New Roman" w:hAnsi="Times New Roman" w:cs="Times New Roman"/>
          <w:sz w:val="24"/>
          <w:szCs w:val="24"/>
        </w:rPr>
        <w:t xml:space="preserve"> in the inlet solution, which combined with aqueous carbonate liberated by CaCO</w:t>
      </w:r>
      <w:r w:rsidRPr="00D2198F">
        <w:rPr>
          <w:rFonts w:ascii="Times New Roman" w:eastAsia="Times New Roman" w:hAnsi="Times New Roman" w:cs="Times New Roman"/>
          <w:sz w:val="24"/>
          <w:szCs w:val="24"/>
          <w:vertAlign w:val="subscript"/>
        </w:rPr>
        <w:t>3</w:t>
      </w:r>
      <w:r w:rsidRPr="00D2198F">
        <w:rPr>
          <w:rFonts w:ascii="Times New Roman" w:eastAsia="Times New Roman" w:hAnsi="Times New Roman" w:cs="Times New Roman"/>
          <w:sz w:val="24"/>
          <w:szCs w:val="24"/>
        </w:rPr>
        <w:t xml:space="preserve"> dissolution to supersaturate otavite. The precipitation of an otavite layer of less than 0.01 </w:t>
      </w:r>
      <w:proofErr w:type="spellStart"/>
      <w:r w:rsidRPr="00D2198F">
        <w:rPr>
          <w:rFonts w:ascii="Times New Roman" w:eastAsia="Times New Roman" w:hAnsi="Times New Roman" w:cs="Times New Roman"/>
          <w:sz w:val="24"/>
          <w:szCs w:val="24"/>
        </w:rPr>
        <w:t>μm</w:t>
      </w:r>
      <w:proofErr w:type="spellEnd"/>
      <w:r w:rsidRPr="00D2198F">
        <w:rPr>
          <w:rFonts w:ascii="Times New Roman" w:eastAsia="Times New Roman" w:hAnsi="Times New Roman" w:cs="Times New Roman"/>
          <w:sz w:val="24"/>
          <w:szCs w:val="24"/>
        </w:rPr>
        <w:t xml:space="preserve"> in thickness on calcite surfaces decreases its dissolution rate by close to two orders of magnitude. This decrease in calcite dissolution rates lowers aqueous carbonate concentrations in the reactor such that the mixed-flow reactor experiments attain a steady-state where the reactive fluid is approximately in equilibrium with otavite, arresting its precipitation. In contrast, otavite coatings are far less efficient in lowering aragonite, and ground clam, mussel, and cockle shell dissolution rates, which are comprised primarily of aragonite. A steady-state is only attained after the precipitation of an otavite layer of 3–10 </w:t>
      </w:r>
      <w:proofErr w:type="spellStart"/>
      <w:r w:rsidRPr="00D2198F">
        <w:rPr>
          <w:rFonts w:ascii="Times New Roman" w:eastAsia="Times New Roman" w:hAnsi="Times New Roman" w:cs="Times New Roman"/>
          <w:sz w:val="24"/>
          <w:szCs w:val="24"/>
        </w:rPr>
        <w:t>μm</w:t>
      </w:r>
      <w:proofErr w:type="spellEnd"/>
      <w:r w:rsidRPr="00D2198F">
        <w:rPr>
          <w:rFonts w:ascii="Times New Roman" w:eastAsia="Times New Roman" w:hAnsi="Times New Roman" w:cs="Times New Roman"/>
          <w:sz w:val="24"/>
          <w:szCs w:val="24"/>
        </w:rPr>
        <w:t xml:space="preserve"> thick; the steady state CaCO</w:t>
      </w:r>
      <w:r w:rsidRPr="00D2198F">
        <w:rPr>
          <w:rFonts w:ascii="Times New Roman" w:eastAsia="Times New Roman" w:hAnsi="Times New Roman" w:cs="Times New Roman"/>
          <w:sz w:val="24"/>
          <w:szCs w:val="24"/>
          <w:vertAlign w:val="subscript"/>
        </w:rPr>
        <w:t>3</w:t>
      </w:r>
      <w:r w:rsidRPr="00D2198F">
        <w:rPr>
          <w:rFonts w:ascii="Times New Roman" w:eastAsia="Times New Roman" w:hAnsi="Times New Roman" w:cs="Times New Roman"/>
          <w:sz w:val="24"/>
          <w:szCs w:val="24"/>
        </w:rPr>
        <w:t xml:space="preserve"> dissolution rate is 1–2 orders of magnitude lower than that in the absence of otavite coatings. The difference in behavior is interpreted to stem from the relative crystallographic structures of the dissolving and precipitating minerals. As otavite is isostructural with respect to calcite, it precipitates by epitaxial growth directly on the calcite, efficiently slowing dissolution. In contrast, otavite’s structure is appreciably different from that of aragonite. Thus, it will precipitate by random three dimensional heterogeneous nucleation, leaving some </w:t>
      </w:r>
      <w:hyperlink r:id="rId7" w:tooltip="Learn more about pore space from ScienceDirect's AI-generated Topic Pages" w:history="1">
        <w:r w:rsidRPr="00D2198F">
          <w:rPr>
            <w:rFonts w:ascii="Times New Roman" w:eastAsia="Times New Roman" w:hAnsi="Times New Roman" w:cs="Times New Roman"/>
            <w:color w:val="0000FF"/>
            <w:sz w:val="24"/>
            <w:szCs w:val="24"/>
            <w:u w:val="single"/>
          </w:rPr>
          <w:t>pore space</w:t>
        </w:r>
      </w:hyperlink>
      <w:r w:rsidRPr="00D2198F">
        <w:rPr>
          <w:rFonts w:ascii="Times New Roman" w:eastAsia="Times New Roman" w:hAnsi="Times New Roman" w:cs="Times New Roman"/>
          <w:sz w:val="24"/>
          <w:szCs w:val="24"/>
        </w:rPr>
        <w:t xml:space="preserve"> at the otavite-aragonite interface. This pore space allows aragonite dissolution to continue relatively unaffected by thin layers of precipitated otavite. Due to the inefficiency of otavite coatings to slow aragonite and ground aragonite shell dissolution, aragonite appears to be a far better Cd scavenging material for cleaning polluted waste waters.</w:t>
      </w:r>
    </w:p>
    <w:p w:rsidR="00D2198F" w:rsidRPr="00D2198F" w:rsidRDefault="00D2198F" w:rsidP="00D2198F">
      <w:pPr>
        <w:spacing w:before="100" w:beforeAutospacing="1" w:after="100" w:afterAutospacing="1" w:line="240" w:lineRule="auto"/>
        <w:outlineLvl w:val="1"/>
        <w:rPr>
          <w:rFonts w:ascii="Times New Roman" w:eastAsia="Times New Roman" w:hAnsi="Times New Roman" w:cs="Times New Roman"/>
          <w:b/>
          <w:bCs/>
          <w:sz w:val="36"/>
          <w:szCs w:val="36"/>
        </w:rPr>
      </w:pPr>
      <w:r w:rsidRPr="00D2198F">
        <w:rPr>
          <w:rFonts w:ascii="Times New Roman" w:eastAsia="Times New Roman" w:hAnsi="Times New Roman" w:cs="Times New Roman"/>
          <w:b/>
          <w:bCs/>
          <w:sz w:val="36"/>
          <w:szCs w:val="36"/>
        </w:rPr>
        <w:t>Introduction</w:t>
      </w:r>
    </w:p>
    <w:p w:rsidR="00D2198F" w:rsidRPr="00D2198F" w:rsidRDefault="00D2198F" w:rsidP="00D2198F">
      <w:p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 xml:space="preserve">The goals of the present study include </w:t>
      </w:r>
    </w:p>
    <w:p w:rsidR="00D2198F" w:rsidRPr="00D2198F" w:rsidRDefault="00D2198F" w:rsidP="00D2198F">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1</w:t>
      </w:r>
    </w:p>
    <w:p w:rsidR="00D2198F" w:rsidRPr="00D2198F" w:rsidRDefault="00D2198F" w:rsidP="00D2198F">
      <w:pPr>
        <w:spacing w:before="100" w:beforeAutospacing="1" w:after="100" w:afterAutospacing="1" w:line="240" w:lineRule="auto"/>
        <w:ind w:left="720"/>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Improved understanding of the interaction between aqueous Cd and the surfaces of CaCO</w:t>
      </w:r>
      <w:r w:rsidRPr="00D2198F">
        <w:rPr>
          <w:rFonts w:ascii="Times New Roman" w:eastAsia="Times New Roman" w:hAnsi="Times New Roman" w:cs="Times New Roman"/>
          <w:sz w:val="24"/>
          <w:szCs w:val="24"/>
          <w:vertAlign w:val="subscript"/>
        </w:rPr>
        <w:t>3</w:t>
      </w:r>
    </w:p>
    <w:p w:rsidR="00D2198F" w:rsidRPr="00D2198F" w:rsidRDefault="00D2198F" w:rsidP="00D2198F">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2</w:t>
      </w:r>
    </w:p>
    <w:p w:rsidR="00D2198F" w:rsidRPr="00D2198F" w:rsidRDefault="00D2198F" w:rsidP="00D2198F">
      <w:pPr>
        <w:spacing w:before="100" w:beforeAutospacing="1" w:after="100" w:afterAutospacing="1" w:line="240" w:lineRule="auto"/>
        <w:ind w:left="720"/>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lastRenderedPageBreak/>
        <w:t>Quantification of the effect of mineral coatings on dissolution rates, and</w:t>
      </w:r>
    </w:p>
    <w:p w:rsidR="00D2198F" w:rsidRPr="00D2198F" w:rsidRDefault="00D2198F" w:rsidP="00D2198F">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3</w:t>
      </w:r>
    </w:p>
    <w:p w:rsidR="00D2198F" w:rsidRPr="00D2198F" w:rsidRDefault="00D2198F" w:rsidP="00D2198F">
      <w:pPr>
        <w:spacing w:before="100" w:beforeAutospacing="1" w:after="100" w:afterAutospacing="1" w:line="240" w:lineRule="auto"/>
        <w:ind w:left="720"/>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Evaluation of the potential of coupled CaCO</w:t>
      </w:r>
      <w:r w:rsidRPr="00D2198F">
        <w:rPr>
          <w:rFonts w:ascii="Times New Roman" w:eastAsia="Times New Roman" w:hAnsi="Times New Roman" w:cs="Times New Roman"/>
          <w:sz w:val="24"/>
          <w:szCs w:val="24"/>
          <w:vertAlign w:val="subscript"/>
        </w:rPr>
        <w:t>3</w:t>
      </w:r>
      <w:r w:rsidRPr="00D2198F">
        <w:rPr>
          <w:rFonts w:ascii="Times New Roman" w:eastAsia="Times New Roman" w:hAnsi="Times New Roman" w:cs="Times New Roman"/>
          <w:sz w:val="24"/>
          <w:szCs w:val="24"/>
        </w:rPr>
        <w:t xml:space="preserve"> dissolution/otavite</w:t>
      </w:r>
      <w:r w:rsidRPr="00D2198F">
        <w:rPr>
          <w:rFonts w:ascii="Times New Roman" w:eastAsia="Times New Roman" w:hAnsi="Times New Roman" w:cs="Times New Roman"/>
          <w:sz w:val="24"/>
          <w:szCs w:val="24"/>
          <w:vertAlign w:val="superscript"/>
        </w:rPr>
        <w:t>1</w:t>
      </w:r>
      <w:r w:rsidRPr="00D2198F">
        <w:rPr>
          <w:rFonts w:ascii="Times New Roman" w:eastAsia="Times New Roman" w:hAnsi="Times New Roman" w:cs="Times New Roman"/>
          <w:sz w:val="24"/>
          <w:szCs w:val="24"/>
        </w:rPr>
        <w:t xml:space="preserve"> precipitation processes to cleaning polluted waste waters.</w:t>
      </w:r>
    </w:p>
    <w:p w:rsidR="00D2198F" w:rsidRPr="00D2198F" w:rsidRDefault="00D2198F" w:rsidP="00D2198F">
      <w:p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The interaction between carbonate minerals and aqueous metals has been the subject of a large number of studies over the past several years. These studies have focused largely on calcite because it is the most common of the carbonates; they include measurements of distribution coefficients in co-precipitation reactions (</w:t>
      </w:r>
      <w:proofErr w:type="spellStart"/>
      <w:r w:rsidRPr="00D2198F">
        <w:rPr>
          <w:rFonts w:ascii="Times New Roman" w:eastAsia="Times New Roman" w:hAnsi="Times New Roman" w:cs="Times New Roman"/>
          <w:sz w:val="24"/>
          <w:szCs w:val="24"/>
        </w:rPr>
        <w:t>Lorens</w:t>
      </w:r>
      <w:proofErr w:type="spellEnd"/>
      <w:r w:rsidRPr="00D2198F">
        <w:rPr>
          <w:rFonts w:ascii="Times New Roman" w:eastAsia="Times New Roman" w:hAnsi="Times New Roman" w:cs="Times New Roman"/>
          <w:sz w:val="24"/>
          <w:szCs w:val="24"/>
        </w:rPr>
        <w:t xml:space="preserve">, 1981; </w:t>
      </w:r>
      <w:proofErr w:type="spellStart"/>
      <w:r w:rsidRPr="00D2198F">
        <w:rPr>
          <w:rFonts w:ascii="Times New Roman" w:eastAsia="Times New Roman" w:hAnsi="Times New Roman" w:cs="Times New Roman"/>
          <w:sz w:val="24"/>
          <w:szCs w:val="24"/>
        </w:rPr>
        <w:t>Königsberger</w:t>
      </w:r>
      <w:proofErr w:type="spellEnd"/>
      <w:r w:rsidRPr="00D2198F">
        <w:rPr>
          <w:rFonts w:ascii="Times New Roman" w:eastAsia="Times New Roman" w:hAnsi="Times New Roman" w:cs="Times New Roman"/>
          <w:sz w:val="24"/>
          <w:szCs w:val="24"/>
        </w:rPr>
        <w:t xml:space="preserve"> et al., 1991; Reeder 1996, </w:t>
      </w:r>
      <w:proofErr w:type="spellStart"/>
      <w:r w:rsidRPr="00D2198F">
        <w:rPr>
          <w:rFonts w:ascii="Times New Roman" w:eastAsia="Times New Roman" w:hAnsi="Times New Roman" w:cs="Times New Roman"/>
          <w:sz w:val="24"/>
          <w:szCs w:val="24"/>
        </w:rPr>
        <w:t>Tesoreiro</w:t>
      </w:r>
      <w:proofErr w:type="spellEnd"/>
      <w:r w:rsidRPr="00D2198F">
        <w:rPr>
          <w:rFonts w:ascii="Times New Roman" w:eastAsia="Times New Roman" w:hAnsi="Times New Roman" w:cs="Times New Roman"/>
          <w:sz w:val="24"/>
          <w:szCs w:val="24"/>
        </w:rPr>
        <w:t xml:space="preserve"> and Pankow 1996; Prieto et al., 1997; Fernández-González et al., 1999), the effect of metal ions on carbonate dissolution kinetics (</w:t>
      </w:r>
      <w:proofErr w:type="spellStart"/>
      <w:r w:rsidRPr="00D2198F">
        <w:rPr>
          <w:rFonts w:ascii="Times New Roman" w:eastAsia="Times New Roman" w:hAnsi="Times New Roman" w:cs="Times New Roman"/>
          <w:sz w:val="24"/>
          <w:szCs w:val="24"/>
        </w:rPr>
        <w:t>Terjesen</w:t>
      </w:r>
      <w:proofErr w:type="spellEnd"/>
      <w:r w:rsidRPr="00D2198F">
        <w:rPr>
          <w:rFonts w:ascii="Times New Roman" w:eastAsia="Times New Roman" w:hAnsi="Times New Roman" w:cs="Times New Roman"/>
          <w:sz w:val="24"/>
          <w:szCs w:val="24"/>
        </w:rPr>
        <w:t xml:space="preserve"> et al., 1961; </w:t>
      </w:r>
      <w:proofErr w:type="spellStart"/>
      <w:r w:rsidRPr="00D2198F">
        <w:rPr>
          <w:rFonts w:ascii="Times New Roman" w:eastAsia="Times New Roman" w:hAnsi="Times New Roman" w:cs="Times New Roman"/>
          <w:sz w:val="24"/>
          <w:szCs w:val="24"/>
        </w:rPr>
        <w:t>Nestaas</w:t>
      </w:r>
      <w:proofErr w:type="spellEnd"/>
      <w:r w:rsidRPr="00D2198F">
        <w:rPr>
          <w:rFonts w:ascii="Times New Roman" w:eastAsia="Times New Roman" w:hAnsi="Times New Roman" w:cs="Times New Roman"/>
          <w:sz w:val="24"/>
          <w:szCs w:val="24"/>
        </w:rPr>
        <w:t xml:space="preserve"> and </w:t>
      </w:r>
      <w:proofErr w:type="spellStart"/>
      <w:r w:rsidRPr="00D2198F">
        <w:rPr>
          <w:rFonts w:ascii="Times New Roman" w:eastAsia="Times New Roman" w:hAnsi="Times New Roman" w:cs="Times New Roman"/>
          <w:sz w:val="24"/>
          <w:szCs w:val="24"/>
        </w:rPr>
        <w:t>Terjesen</w:t>
      </w:r>
      <w:proofErr w:type="spellEnd"/>
      <w:r w:rsidRPr="00D2198F">
        <w:rPr>
          <w:rFonts w:ascii="Times New Roman" w:eastAsia="Times New Roman" w:hAnsi="Times New Roman" w:cs="Times New Roman"/>
          <w:sz w:val="24"/>
          <w:szCs w:val="24"/>
        </w:rPr>
        <w:t xml:space="preserve">, 1969; Salem et al., 1994; </w:t>
      </w:r>
      <w:proofErr w:type="spellStart"/>
      <w:r w:rsidRPr="00D2198F">
        <w:rPr>
          <w:rFonts w:ascii="Times New Roman" w:eastAsia="Times New Roman" w:hAnsi="Times New Roman" w:cs="Times New Roman"/>
          <w:sz w:val="24"/>
          <w:szCs w:val="24"/>
        </w:rPr>
        <w:t>Gutjahr</w:t>
      </w:r>
      <w:proofErr w:type="spellEnd"/>
      <w:r w:rsidRPr="00D2198F">
        <w:rPr>
          <w:rFonts w:ascii="Times New Roman" w:eastAsia="Times New Roman" w:hAnsi="Times New Roman" w:cs="Times New Roman"/>
          <w:sz w:val="24"/>
          <w:szCs w:val="24"/>
        </w:rPr>
        <w:t xml:space="preserve"> et al., 1996b; </w:t>
      </w:r>
      <w:proofErr w:type="spellStart"/>
      <w:r w:rsidRPr="00D2198F">
        <w:rPr>
          <w:rFonts w:ascii="Times New Roman" w:eastAsia="Times New Roman" w:hAnsi="Times New Roman" w:cs="Times New Roman"/>
          <w:sz w:val="24"/>
          <w:szCs w:val="24"/>
        </w:rPr>
        <w:t>Alkattan</w:t>
      </w:r>
      <w:proofErr w:type="spellEnd"/>
      <w:r w:rsidRPr="00D2198F">
        <w:rPr>
          <w:rFonts w:ascii="Times New Roman" w:eastAsia="Times New Roman" w:hAnsi="Times New Roman" w:cs="Times New Roman"/>
          <w:sz w:val="24"/>
          <w:szCs w:val="24"/>
        </w:rPr>
        <w:t xml:space="preserve"> et al., 2002), and sorption studies (McBride, 1980; </w:t>
      </w:r>
      <w:proofErr w:type="spellStart"/>
      <w:r w:rsidRPr="00D2198F">
        <w:rPr>
          <w:rFonts w:ascii="Times New Roman" w:eastAsia="Times New Roman" w:hAnsi="Times New Roman" w:cs="Times New Roman"/>
          <w:sz w:val="24"/>
          <w:szCs w:val="24"/>
        </w:rPr>
        <w:t>Kornicker</w:t>
      </w:r>
      <w:proofErr w:type="spellEnd"/>
      <w:r w:rsidRPr="00D2198F">
        <w:rPr>
          <w:rFonts w:ascii="Times New Roman" w:eastAsia="Times New Roman" w:hAnsi="Times New Roman" w:cs="Times New Roman"/>
          <w:sz w:val="24"/>
          <w:szCs w:val="24"/>
        </w:rPr>
        <w:t xml:space="preserve"> et al., 1985; Davis et al., 1987; Fuller and Davis, 1987; </w:t>
      </w:r>
      <w:proofErr w:type="spellStart"/>
      <w:r w:rsidRPr="00D2198F">
        <w:rPr>
          <w:rFonts w:ascii="Times New Roman" w:eastAsia="Times New Roman" w:hAnsi="Times New Roman" w:cs="Times New Roman"/>
          <w:sz w:val="24"/>
          <w:szCs w:val="24"/>
        </w:rPr>
        <w:t>Zachara</w:t>
      </w:r>
      <w:proofErr w:type="spellEnd"/>
      <w:r w:rsidRPr="00D2198F">
        <w:rPr>
          <w:rFonts w:ascii="Times New Roman" w:eastAsia="Times New Roman" w:hAnsi="Times New Roman" w:cs="Times New Roman"/>
          <w:sz w:val="24"/>
          <w:szCs w:val="24"/>
        </w:rPr>
        <w:t xml:space="preserve"> et al., 1991; </w:t>
      </w:r>
      <w:proofErr w:type="spellStart"/>
      <w:r w:rsidRPr="00D2198F">
        <w:rPr>
          <w:rFonts w:ascii="Times New Roman" w:eastAsia="Times New Roman" w:hAnsi="Times New Roman" w:cs="Times New Roman"/>
          <w:sz w:val="24"/>
          <w:szCs w:val="24"/>
        </w:rPr>
        <w:t>Stipp</w:t>
      </w:r>
      <w:proofErr w:type="spellEnd"/>
      <w:r w:rsidRPr="00D2198F">
        <w:rPr>
          <w:rFonts w:ascii="Times New Roman" w:eastAsia="Times New Roman" w:hAnsi="Times New Roman" w:cs="Times New Roman"/>
          <w:sz w:val="24"/>
          <w:szCs w:val="24"/>
        </w:rPr>
        <w:t xml:space="preserve"> et al., 1992; </w:t>
      </w:r>
      <w:proofErr w:type="spellStart"/>
      <w:r w:rsidRPr="00D2198F">
        <w:rPr>
          <w:rFonts w:ascii="Times New Roman" w:eastAsia="Times New Roman" w:hAnsi="Times New Roman" w:cs="Times New Roman"/>
          <w:sz w:val="24"/>
          <w:szCs w:val="24"/>
        </w:rPr>
        <w:t>Chiarello</w:t>
      </w:r>
      <w:proofErr w:type="spellEnd"/>
      <w:r w:rsidRPr="00D2198F">
        <w:rPr>
          <w:rFonts w:ascii="Times New Roman" w:eastAsia="Times New Roman" w:hAnsi="Times New Roman" w:cs="Times New Roman"/>
          <w:sz w:val="24"/>
          <w:szCs w:val="24"/>
        </w:rPr>
        <w:t xml:space="preserve"> et al., 1997, Martin-</w:t>
      </w:r>
      <w:proofErr w:type="spellStart"/>
      <w:r w:rsidRPr="00D2198F">
        <w:rPr>
          <w:rFonts w:ascii="Times New Roman" w:eastAsia="Times New Roman" w:hAnsi="Times New Roman" w:cs="Times New Roman"/>
          <w:sz w:val="24"/>
          <w:szCs w:val="24"/>
        </w:rPr>
        <w:t>Garin</w:t>
      </w:r>
      <w:proofErr w:type="spellEnd"/>
      <w:r w:rsidRPr="00D2198F">
        <w:rPr>
          <w:rFonts w:ascii="Times New Roman" w:eastAsia="Times New Roman" w:hAnsi="Times New Roman" w:cs="Times New Roman"/>
          <w:sz w:val="24"/>
          <w:szCs w:val="24"/>
        </w:rPr>
        <w:t xml:space="preserve"> et al., 2003). A number of recent publications have focused on aqueous Cd-carbonate interaction, because the adsorption or precipitation of Cd may be an effective way to remove this contaminant from polluted water (Wang and Reardon 2001, García-Sanchez and Álvarez-</w:t>
      </w:r>
      <w:proofErr w:type="spellStart"/>
      <w:r w:rsidRPr="00D2198F">
        <w:rPr>
          <w:rFonts w:ascii="Times New Roman" w:eastAsia="Times New Roman" w:hAnsi="Times New Roman" w:cs="Times New Roman"/>
          <w:sz w:val="24"/>
          <w:szCs w:val="24"/>
        </w:rPr>
        <w:t>Ayuso</w:t>
      </w:r>
      <w:proofErr w:type="spellEnd"/>
      <w:r w:rsidRPr="00D2198F">
        <w:rPr>
          <w:rFonts w:ascii="Times New Roman" w:eastAsia="Times New Roman" w:hAnsi="Times New Roman" w:cs="Times New Roman"/>
          <w:sz w:val="24"/>
          <w:szCs w:val="24"/>
        </w:rPr>
        <w:t xml:space="preserve"> 2002). Prieto et al. (2003) performed closed-system experiments to investigate the uptake capacity of Cd by ground aragonite, calcite, and biogenic aragonite shells. They observed that Cd uptake is much greater on aragonite than calcite, and attributed this difference to the different uptake mechanisms of these surfaces. The effect of mineral coatings on the dissolution rates of the underlying mineral has been debated in the literature (Nicholson et al., 1990; Hodson et al., 1998; Nugent et al., 1998; Brantley et al., 1999; Zhu et al., 2001; </w:t>
      </w:r>
      <w:proofErr w:type="spellStart"/>
      <w:r w:rsidRPr="00D2198F">
        <w:rPr>
          <w:rFonts w:ascii="Times New Roman" w:eastAsia="Times New Roman" w:hAnsi="Times New Roman" w:cs="Times New Roman"/>
          <w:sz w:val="24"/>
          <w:szCs w:val="24"/>
        </w:rPr>
        <w:t>Oelkers</w:t>
      </w:r>
      <w:proofErr w:type="spellEnd"/>
      <w:r w:rsidRPr="00D2198F">
        <w:rPr>
          <w:rFonts w:ascii="Times New Roman" w:eastAsia="Times New Roman" w:hAnsi="Times New Roman" w:cs="Times New Roman"/>
          <w:sz w:val="24"/>
          <w:szCs w:val="24"/>
        </w:rPr>
        <w:t xml:space="preserve"> 2002, Hodson 2003; Zhu et al., 2004). The effect of such coatings is unclear. </w:t>
      </w:r>
      <w:proofErr w:type="spellStart"/>
      <w:r w:rsidRPr="00D2198F">
        <w:rPr>
          <w:rFonts w:ascii="Times New Roman" w:eastAsia="Times New Roman" w:hAnsi="Times New Roman" w:cs="Times New Roman"/>
          <w:sz w:val="24"/>
          <w:szCs w:val="24"/>
        </w:rPr>
        <w:t>Yau</w:t>
      </w:r>
      <w:proofErr w:type="spellEnd"/>
      <w:r w:rsidRPr="00D2198F">
        <w:rPr>
          <w:rFonts w:ascii="Times New Roman" w:eastAsia="Times New Roman" w:hAnsi="Times New Roman" w:cs="Times New Roman"/>
          <w:sz w:val="24"/>
          <w:szCs w:val="24"/>
        </w:rPr>
        <w:t xml:space="preserve"> (1999) observed that the dissolution rate for Cape Cod sands increased after removal of surface coatings. In contrast </w:t>
      </w:r>
      <w:proofErr w:type="spellStart"/>
      <w:r w:rsidRPr="00D2198F">
        <w:rPr>
          <w:rFonts w:ascii="Times New Roman" w:eastAsia="Times New Roman" w:hAnsi="Times New Roman" w:cs="Times New Roman"/>
          <w:sz w:val="24"/>
          <w:szCs w:val="24"/>
        </w:rPr>
        <w:t>Petrovic</w:t>
      </w:r>
      <w:proofErr w:type="spellEnd"/>
      <w:r w:rsidRPr="00D2198F">
        <w:rPr>
          <w:rFonts w:ascii="Times New Roman" w:eastAsia="Times New Roman" w:hAnsi="Times New Roman" w:cs="Times New Roman"/>
          <w:sz w:val="24"/>
          <w:szCs w:val="24"/>
        </w:rPr>
        <w:t xml:space="preserve"> (1976) and Hodson (2003) concluded that the presence of porous coatings did not affect dissolution rates. The present study builds upon these previous studies by performing coupled CaCO</w:t>
      </w:r>
      <w:r w:rsidRPr="00D2198F">
        <w:rPr>
          <w:rFonts w:ascii="Times New Roman" w:eastAsia="Times New Roman" w:hAnsi="Times New Roman" w:cs="Times New Roman"/>
          <w:sz w:val="24"/>
          <w:szCs w:val="24"/>
          <w:vertAlign w:val="subscript"/>
        </w:rPr>
        <w:t>3</w:t>
      </w:r>
      <w:r w:rsidRPr="00D2198F">
        <w:rPr>
          <w:rFonts w:ascii="Times New Roman" w:eastAsia="Times New Roman" w:hAnsi="Times New Roman" w:cs="Times New Roman"/>
          <w:sz w:val="24"/>
          <w:szCs w:val="24"/>
        </w:rPr>
        <w:t xml:space="preserve"> dissolution/otavite precipitation experiments in mixed-flow reactors, where it is possible to observe the temporal evolution of CaCO</w:t>
      </w:r>
      <w:r w:rsidRPr="00D2198F">
        <w:rPr>
          <w:rFonts w:ascii="Times New Roman" w:eastAsia="Times New Roman" w:hAnsi="Times New Roman" w:cs="Times New Roman"/>
          <w:sz w:val="24"/>
          <w:szCs w:val="24"/>
          <w:vertAlign w:val="subscript"/>
        </w:rPr>
        <w:t>3</w:t>
      </w:r>
      <w:r w:rsidRPr="00D2198F">
        <w:rPr>
          <w:rFonts w:ascii="Times New Roman" w:eastAsia="Times New Roman" w:hAnsi="Times New Roman" w:cs="Times New Roman"/>
          <w:sz w:val="24"/>
          <w:szCs w:val="24"/>
        </w:rPr>
        <w:t xml:space="preserve"> dissolution rates as otavite precipitates on its surfaces. Results of the present study, therefore, provide new insight into the effects of the presence of mineral coatings on dissolution rates.</w:t>
      </w:r>
    </w:p>
    <w:p w:rsidR="00D2198F" w:rsidRPr="00D2198F" w:rsidRDefault="00D2198F" w:rsidP="00D2198F">
      <w:pPr>
        <w:spacing w:before="100" w:beforeAutospacing="1" w:after="100" w:afterAutospacing="1" w:line="240" w:lineRule="auto"/>
        <w:outlineLvl w:val="1"/>
        <w:rPr>
          <w:rFonts w:ascii="Times New Roman" w:eastAsia="Times New Roman" w:hAnsi="Times New Roman" w:cs="Times New Roman"/>
          <w:b/>
          <w:bCs/>
          <w:sz w:val="36"/>
          <w:szCs w:val="36"/>
        </w:rPr>
      </w:pPr>
      <w:r w:rsidRPr="00D2198F">
        <w:rPr>
          <w:rFonts w:ascii="Times New Roman" w:eastAsia="Times New Roman" w:hAnsi="Times New Roman" w:cs="Times New Roman"/>
          <w:b/>
          <w:bCs/>
          <w:sz w:val="36"/>
          <w:szCs w:val="36"/>
        </w:rPr>
        <w:t>Section snippets</w:t>
      </w:r>
    </w:p>
    <w:p w:rsidR="00D2198F" w:rsidRPr="00D2198F" w:rsidRDefault="00D2198F" w:rsidP="00D2198F">
      <w:pPr>
        <w:spacing w:before="100" w:beforeAutospacing="1" w:after="100" w:afterAutospacing="1" w:line="240" w:lineRule="auto"/>
        <w:outlineLvl w:val="1"/>
        <w:rPr>
          <w:rFonts w:ascii="Times New Roman" w:eastAsia="Times New Roman" w:hAnsi="Times New Roman" w:cs="Times New Roman"/>
          <w:b/>
          <w:bCs/>
          <w:sz w:val="36"/>
          <w:szCs w:val="36"/>
        </w:rPr>
      </w:pPr>
      <w:r w:rsidRPr="00D2198F">
        <w:rPr>
          <w:rFonts w:ascii="Times New Roman" w:eastAsia="Times New Roman" w:hAnsi="Times New Roman" w:cs="Times New Roman"/>
          <w:b/>
          <w:bCs/>
          <w:sz w:val="36"/>
          <w:szCs w:val="36"/>
        </w:rPr>
        <w:t>Methods</w:t>
      </w:r>
    </w:p>
    <w:p w:rsidR="00D2198F" w:rsidRPr="00D2198F" w:rsidRDefault="00D2198F" w:rsidP="00D2198F">
      <w:p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 xml:space="preserve">Coupled dissolution/precipitation experiments were performed in the present study using both biogenic and abiogenic carbonates. Abiogenic calcite and aragonite were obtained from the mineral collection of the Geology Department of the University of Oviedo. Biogenic carbonates belonging to the </w:t>
      </w:r>
      <w:proofErr w:type="spellStart"/>
      <w:r w:rsidRPr="00D2198F">
        <w:rPr>
          <w:rFonts w:ascii="Times New Roman" w:eastAsia="Times New Roman" w:hAnsi="Times New Roman" w:cs="Times New Roman"/>
          <w:sz w:val="24"/>
          <w:szCs w:val="24"/>
        </w:rPr>
        <w:t>phyllum</w:t>
      </w:r>
      <w:proofErr w:type="spellEnd"/>
      <w:r w:rsidRPr="00D2198F">
        <w:rPr>
          <w:rFonts w:ascii="Times New Roman" w:eastAsia="Times New Roman" w:hAnsi="Times New Roman" w:cs="Times New Roman"/>
          <w:sz w:val="24"/>
          <w:szCs w:val="24"/>
        </w:rPr>
        <w:t xml:space="preserve"> Mollusca and class Bivalvia were obtained from commercially available seafood. The species used were </w:t>
      </w:r>
      <w:r w:rsidRPr="00D2198F">
        <w:rPr>
          <w:rFonts w:ascii="Times New Roman" w:eastAsia="Times New Roman" w:hAnsi="Times New Roman" w:cs="Times New Roman"/>
          <w:i/>
          <w:iCs/>
          <w:sz w:val="24"/>
          <w:szCs w:val="24"/>
        </w:rPr>
        <w:t>Mytilus edulis</w:t>
      </w:r>
      <w:r w:rsidRPr="00D2198F">
        <w:rPr>
          <w:rFonts w:ascii="Times New Roman" w:eastAsia="Times New Roman" w:hAnsi="Times New Roman" w:cs="Times New Roman"/>
          <w:sz w:val="24"/>
          <w:szCs w:val="24"/>
        </w:rPr>
        <w:t xml:space="preserve">, </w:t>
      </w:r>
      <w:r w:rsidRPr="00D2198F">
        <w:rPr>
          <w:rFonts w:ascii="Times New Roman" w:eastAsia="Times New Roman" w:hAnsi="Times New Roman" w:cs="Times New Roman"/>
          <w:i/>
          <w:iCs/>
          <w:sz w:val="24"/>
          <w:szCs w:val="24"/>
        </w:rPr>
        <w:t xml:space="preserve">Tapes </w:t>
      </w:r>
      <w:proofErr w:type="spellStart"/>
      <w:r w:rsidRPr="00D2198F">
        <w:rPr>
          <w:rFonts w:ascii="Times New Roman" w:eastAsia="Times New Roman" w:hAnsi="Times New Roman" w:cs="Times New Roman"/>
          <w:i/>
          <w:iCs/>
          <w:sz w:val="24"/>
          <w:szCs w:val="24"/>
        </w:rPr>
        <w:t>decunatus</w:t>
      </w:r>
      <w:proofErr w:type="spellEnd"/>
      <w:r w:rsidRPr="00D2198F">
        <w:rPr>
          <w:rFonts w:ascii="Times New Roman" w:eastAsia="Times New Roman" w:hAnsi="Times New Roman" w:cs="Times New Roman"/>
          <w:sz w:val="24"/>
          <w:szCs w:val="24"/>
        </w:rPr>
        <w:t xml:space="preserve">, and </w:t>
      </w:r>
      <w:proofErr w:type="spellStart"/>
      <w:r w:rsidRPr="00D2198F">
        <w:rPr>
          <w:rFonts w:ascii="Times New Roman" w:eastAsia="Times New Roman" w:hAnsi="Times New Roman" w:cs="Times New Roman"/>
          <w:i/>
          <w:iCs/>
          <w:sz w:val="24"/>
          <w:szCs w:val="24"/>
        </w:rPr>
        <w:t>Cerastoderma</w:t>
      </w:r>
      <w:proofErr w:type="spellEnd"/>
      <w:r w:rsidRPr="00D2198F">
        <w:rPr>
          <w:rFonts w:ascii="Times New Roman" w:eastAsia="Times New Roman" w:hAnsi="Times New Roman" w:cs="Times New Roman"/>
          <w:i/>
          <w:iCs/>
          <w:sz w:val="24"/>
          <w:szCs w:val="24"/>
        </w:rPr>
        <w:t xml:space="preserve"> </w:t>
      </w:r>
      <w:proofErr w:type="spellStart"/>
      <w:r w:rsidRPr="00D2198F">
        <w:rPr>
          <w:rFonts w:ascii="Times New Roman" w:eastAsia="Times New Roman" w:hAnsi="Times New Roman" w:cs="Times New Roman"/>
          <w:i/>
          <w:iCs/>
          <w:sz w:val="24"/>
          <w:szCs w:val="24"/>
        </w:rPr>
        <w:t>edule</w:t>
      </w:r>
      <w:proofErr w:type="spellEnd"/>
      <w:r w:rsidRPr="00D2198F">
        <w:rPr>
          <w:rFonts w:ascii="Times New Roman" w:eastAsia="Times New Roman" w:hAnsi="Times New Roman" w:cs="Times New Roman"/>
          <w:sz w:val="24"/>
          <w:szCs w:val="24"/>
        </w:rPr>
        <w:t xml:space="preserve"> and are referred hereafter by </w:t>
      </w:r>
      <w:proofErr w:type="gramStart"/>
      <w:r w:rsidRPr="00D2198F">
        <w:rPr>
          <w:rFonts w:ascii="Times New Roman" w:eastAsia="Times New Roman" w:hAnsi="Times New Roman" w:cs="Times New Roman"/>
          <w:sz w:val="24"/>
          <w:szCs w:val="24"/>
        </w:rPr>
        <w:t>their</w:t>
      </w:r>
      <w:proofErr w:type="gramEnd"/>
    </w:p>
    <w:p w:rsidR="00D2198F" w:rsidRPr="00D2198F" w:rsidRDefault="00D2198F" w:rsidP="00D2198F">
      <w:pPr>
        <w:spacing w:before="100" w:beforeAutospacing="1" w:after="100" w:afterAutospacing="1" w:line="240" w:lineRule="auto"/>
        <w:outlineLvl w:val="1"/>
        <w:rPr>
          <w:rFonts w:ascii="Times New Roman" w:eastAsia="Times New Roman" w:hAnsi="Times New Roman" w:cs="Times New Roman"/>
          <w:b/>
          <w:bCs/>
          <w:sz w:val="36"/>
          <w:szCs w:val="36"/>
        </w:rPr>
      </w:pPr>
      <w:r w:rsidRPr="00D2198F">
        <w:rPr>
          <w:rFonts w:ascii="Times New Roman" w:eastAsia="Times New Roman" w:hAnsi="Times New Roman" w:cs="Times New Roman"/>
          <w:b/>
          <w:bCs/>
          <w:sz w:val="36"/>
          <w:szCs w:val="36"/>
        </w:rPr>
        <w:t>Standard States</w:t>
      </w:r>
    </w:p>
    <w:p w:rsidR="00D2198F" w:rsidRPr="00D2198F" w:rsidRDefault="00D2198F" w:rsidP="00D2198F">
      <w:p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lastRenderedPageBreak/>
        <w:t>In this study unit activity was assumed for pure minerals and H</w:t>
      </w:r>
      <w:r w:rsidRPr="00D2198F">
        <w:rPr>
          <w:rFonts w:ascii="Times New Roman" w:eastAsia="Times New Roman" w:hAnsi="Times New Roman" w:cs="Times New Roman"/>
          <w:sz w:val="24"/>
          <w:szCs w:val="24"/>
          <w:vertAlign w:val="subscript"/>
        </w:rPr>
        <w:t>2</w:t>
      </w:r>
      <w:r w:rsidRPr="00D2198F">
        <w:rPr>
          <w:rFonts w:ascii="Times New Roman" w:eastAsia="Times New Roman" w:hAnsi="Times New Roman" w:cs="Times New Roman"/>
          <w:sz w:val="24"/>
          <w:szCs w:val="24"/>
        </w:rPr>
        <w:t>O at any temperature and pressure. For aqueous species other than H</w:t>
      </w:r>
      <w:r w:rsidRPr="00D2198F">
        <w:rPr>
          <w:rFonts w:ascii="Times New Roman" w:eastAsia="Times New Roman" w:hAnsi="Times New Roman" w:cs="Times New Roman"/>
          <w:sz w:val="24"/>
          <w:szCs w:val="24"/>
          <w:vertAlign w:val="subscript"/>
        </w:rPr>
        <w:t>2</w:t>
      </w:r>
      <w:r w:rsidRPr="00D2198F">
        <w:rPr>
          <w:rFonts w:ascii="Times New Roman" w:eastAsia="Times New Roman" w:hAnsi="Times New Roman" w:cs="Times New Roman"/>
          <w:sz w:val="24"/>
          <w:szCs w:val="24"/>
        </w:rPr>
        <w:t xml:space="preserve">O, the standard state is unit activity of the species in a hypothetical 1 </w:t>
      </w:r>
      <w:proofErr w:type="spellStart"/>
      <w:r w:rsidRPr="00D2198F">
        <w:rPr>
          <w:rFonts w:ascii="Times New Roman" w:eastAsia="Times New Roman" w:hAnsi="Times New Roman" w:cs="Times New Roman"/>
          <w:sz w:val="24"/>
          <w:szCs w:val="24"/>
        </w:rPr>
        <w:t>molal</w:t>
      </w:r>
      <w:proofErr w:type="spellEnd"/>
      <w:r w:rsidRPr="00D2198F">
        <w:rPr>
          <w:rFonts w:ascii="Times New Roman" w:eastAsia="Times New Roman" w:hAnsi="Times New Roman" w:cs="Times New Roman"/>
          <w:sz w:val="24"/>
          <w:szCs w:val="24"/>
        </w:rPr>
        <w:t xml:space="preserve"> solution referenced to infinite dilution at any temperature and pressure. All aqueous activities and saturation indices used in the present study were generated using PHREEQC 2.6 computer code (Parkhurst and </w:t>
      </w:r>
      <w:proofErr w:type="spellStart"/>
      <w:r w:rsidRPr="00D2198F">
        <w:rPr>
          <w:rFonts w:ascii="Times New Roman" w:eastAsia="Times New Roman" w:hAnsi="Times New Roman" w:cs="Times New Roman"/>
          <w:sz w:val="24"/>
          <w:szCs w:val="24"/>
        </w:rPr>
        <w:t>Appelo</w:t>
      </w:r>
      <w:proofErr w:type="spellEnd"/>
      <w:r w:rsidRPr="00D2198F">
        <w:rPr>
          <w:rFonts w:ascii="Times New Roman" w:eastAsia="Times New Roman" w:hAnsi="Times New Roman" w:cs="Times New Roman"/>
          <w:sz w:val="24"/>
          <w:szCs w:val="24"/>
        </w:rPr>
        <w:t>, 1999). Equilibrium constants were taken from the PHREEQC database,</w:t>
      </w:r>
    </w:p>
    <w:p w:rsidR="00D2198F" w:rsidRPr="00D2198F" w:rsidRDefault="00D2198F" w:rsidP="00D2198F">
      <w:pPr>
        <w:spacing w:before="100" w:beforeAutospacing="1" w:after="100" w:afterAutospacing="1" w:line="240" w:lineRule="auto"/>
        <w:outlineLvl w:val="1"/>
        <w:rPr>
          <w:rFonts w:ascii="Times New Roman" w:eastAsia="Times New Roman" w:hAnsi="Times New Roman" w:cs="Times New Roman"/>
          <w:b/>
          <w:bCs/>
          <w:sz w:val="36"/>
          <w:szCs w:val="36"/>
        </w:rPr>
      </w:pPr>
      <w:r w:rsidRPr="00D2198F">
        <w:rPr>
          <w:rFonts w:ascii="Times New Roman" w:eastAsia="Times New Roman" w:hAnsi="Times New Roman" w:cs="Times New Roman"/>
          <w:b/>
          <w:bCs/>
          <w:sz w:val="36"/>
          <w:szCs w:val="36"/>
        </w:rPr>
        <w:t>Summary of Results</w:t>
      </w:r>
    </w:p>
    <w:p w:rsidR="00D2198F" w:rsidRPr="00D2198F" w:rsidRDefault="00D2198F" w:rsidP="00D2198F">
      <w:p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 xml:space="preserve">Experiments were performed in the present study to assess the effect of aqueous Cd and otavite precipitation on the dissolution of both calcite and aragonite. Two experimental series were run for calcite dissolution in the presence of a </w:t>
      </w:r>
      <w:proofErr w:type="gramStart"/>
      <w:r w:rsidRPr="00D2198F">
        <w:rPr>
          <w:rFonts w:ascii="Times New Roman" w:eastAsia="Times New Roman" w:hAnsi="Times New Roman" w:cs="Times New Roman"/>
          <w:sz w:val="24"/>
          <w:szCs w:val="24"/>
        </w:rPr>
        <w:t>Cd(</w:t>
      </w:r>
      <w:proofErr w:type="gramEnd"/>
      <w:r w:rsidRPr="00D2198F">
        <w:rPr>
          <w:rFonts w:ascii="Times New Roman" w:eastAsia="Times New Roman" w:hAnsi="Times New Roman" w:cs="Times New Roman"/>
          <w:sz w:val="24"/>
          <w:szCs w:val="24"/>
        </w:rPr>
        <w:t>NO</w:t>
      </w:r>
      <w:r w:rsidRPr="00D2198F">
        <w:rPr>
          <w:rFonts w:ascii="Times New Roman" w:eastAsia="Times New Roman" w:hAnsi="Times New Roman" w:cs="Times New Roman"/>
          <w:sz w:val="24"/>
          <w:szCs w:val="24"/>
          <w:vertAlign w:val="subscript"/>
        </w:rPr>
        <w:t>3</w:t>
      </w:r>
      <w:r w:rsidRPr="00D2198F">
        <w:rPr>
          <w:rFonts w:ascii="Times New Roman" w:eastAsia="Times New Roman" w:hAnsi="Times New Roman" w:cs="Times New Roman"/>
          <w:sz w:val="24"/>
          <w:szCs w:val="24"/>
        </w:rPr>
        <w:t>)</w:t>
      </w:r>
      <w:r w:rsidRPr="00D2198F">
        <w:rPr>
          <w:rFonts w:ascii="Times New Roman" w:eastAsia="Times New Roman" w:hAnsi="Times New Roman" w:cs="Times New Roman"/>
          <w:sz w:val="24"/>
          <w:szCs w:val="24"/>
          <w:vertAlign w:val="subscript"/>
        </w:rPr>
        <w:t>2</w:t>
      </w:r>
      <w:r w:rsidRPr="00D2198F">
        <w:rPr>
          <w:rFonts w:ascii="Times New Roman" w:eastAsia="Times New Roman" w:hAnsi="Times New Roman" w:cs="Times New Roman"/>
          <w:sz w:val="24"/>
          <w:szCs w:val="24"/>
        </w:rPr>
        <w:t xml:space="preserve"> inlet solution. Each series consisted of a single powder, and a single inlet solution. In each experimental series, the fluid flow rate was changed to alter the steady-state conditions. These two series are denoted as CCE1 and CCE2. Aragonite and shell</w:t>
      </w:r>
    </w:p>
    <w:p w:rsidR="00D2198F" w:rsidRPr="00D2198F" w:rsidRDefault="00D2198F" w:rsidP="00D2198F">
      <w:pPr>
        <w:spacing w:before="100" w:beforeAutospacing="1" w:after="100" w:afterAutospacing="1" w:line="240" w:lineRule="auto"/>
        <w:outlineLvl w:val="1"/>
        <w:rPr>
          <w:rFonts w:ascii="Times New Roman" w:eastAsia="Times New Roman" w:hAnsi="Times New Roman" w:cs="Times New Roman"/>
          <w:b/>
          <w:bCs/>
          <w:sz w:val="36"/>
          <w:szCs w:val="36"/>
        </w:rPr>
      </w:pPr>
      <w:r w:rsidRPr="00D2198F">
        <w:rPr>
          <w:rFonts w:ascii="Times New Roman" w:eastAsia="Times New Roman" w:hAnsi="Times New Roman" w:cs="Times New Roman"/>
          <w:b/>
          <w:bCs/>
          <w:sz w:val="36"/>
          <w:szCs w:val="36"/>
        </w:rPr>
        <w:t>How Do Surface Precipitates Affect Dissolution Rates?</w:t>
      </w:r>
    </w:p>
    <w:p w:rsidR="00D2198F" w:rsidRPr="00D2198F" w:rsidRDefault="00D2198F" w:rsidP="00D2198F">
      <w:p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 xml:space="preserve">Results presented above illustrate that the degree to which surface precipitates affect mineral dissolution depends strongly on the identity and relative structures of the dissolving mineral and its coating. Otavite and calcite both have </w:t>
      </w:r>
      <w:proofErr w:type="spellStart"/>
      <w:r w:rsidRPr="00D2198F">
        <w:rPr>
          <w:rFonts w:ascii="Times New Roman" w:eastAsia="Times New Roman" w:hAnsi="Times New Roman" w:cs="Times New Roman"/>
          <w:sz w:val="24"/>
          <w:szCs w:val="24"/>
        </w:rPr>
        <w:t>rombohedral</w:t>
      </w:r>
      <w:proofErr w:type="spellEnd"/>
      <w:r w:rsidRPr="00D2198F">
        <w:rPr>
          <w:rFonts w:ascii="Times New Roman" w:eastAsia="Times New Roman" w:hAnsi="Times New Roman" w:cs="Times New Roman"/>
          <w:sz w:val="24"/>
          <w:szCs w:val="24"/>
        </w:rPr>
        <w:t xml:space="preserve"> structures and similar unit cell parameters. As such, otavite can precipitate on calcite surfaces by </w:t>
      </w:r>
      <w:proofErr w:type="gramStart"/>
      <w:r w:rsidRPr="00D2198F">
        <w:rPr>
          <w:rFonts w:ascii="Times New Roman" w:eastAsia="Times New Roman" w:hAnsi="Times New Roman" w:cs="Times New Roman"/>
          <w:sz w:val="24"/>
          <w:szCs w:val="24"/>
        </w:rPr>
        <w:t>two dimensional</w:t>
      </w:r>
      <w:proofErr w:type="gramEnd"/>
      <w:r w:rsidRPr="00D2198F">
        <w:rPr>
          <w:rFonts w:ascii="Times New Roman" w:eastAsia="Times New Roman" w:hAnsi="Times New Roman" w:cs="Times New Roman"/>
          <w:sz w:val="24"/>
          <w:szCs w:val="24"/>
        </w:rPr>
        <w:t xml:space="preserve"> epitaxial growth, forming nuclei of a few unit cells (Prieto et al. 2003). This growth mechanism efficiently passivates the</w:t>
      </w:r>
    </w:p>
    <w:p w:rsidR="00D2198F" w:rsidRPr="00D2198F" w:rsidRDefault="00D2198F" w:rsidP="00D2198F">
      <w:pPr>
        <w:spacing w:before="100" w:beforeAutospacing="1" w:after="100" w:afterAutospacing="1" w:line="240" w:lineRule="auto"/>
        <w:outlineLvl w:val="1"/>
        <w:rPr>
          <w:rFonts w:ascii="Times New Roman" w:eastAsia="Times New Roman" w:hAnsi="Times New Roman" w:cs="Times New Roman"/>
          <w:b/>
          <w:bCs/>
          <w:sz w:val="36"/>
          <w:szCs w:val="36"/>
        </w:rPr>
      </w:pPr>
      <w:r w:rsidRPr="00D2198F">
        <w:rPr>
          <w:rFonts w:ascii="Times New Roman" w:eastAsia="Times New Roman" w:hAnsi="Times New Roman" w:cs="Times New Roman"/>
          <w:b/>
          <w:bCs/>
          <w:sz w:val="36"/>
          <w:szCs w:val="36"/>
        </w:rPr>
        <w:t>Conclusions</w:t>
      </w:r>
    </w:p>
    <w:p w:rsidR="00D2198F" w:rsidRPr="00D2198F" w:rsidRDefault="00D2198F" w:rsidP="00D2198F">
      <w:p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The results presented above provide insight into the role of mineral coatings on dissolution rates, and the potential of coupled CaCO</w:t>
      </w:r>
      <w:r w:rsidRPr="00D2198F">
        <w:rPr>
          <w:rFonts w:ascii="Times New Roman" w:eastAsia="Times New Roman" w:hAnsi="Times New Roman" w:cs="Times New Roman"/>
          <w:sz w:val="24"/>
          <w:szCs w:val="24"/>
          <w:vertAlign w:val="subscript"/>
        </w:rPr>
        <w:t>3</w:t>
      </w:r>
      <w:r w:rsidRPr="00D2198F">
        <w:rPr>
          <w:rFonts w:ascii="Times New Roman" w:eastAsia="Times New Roman" w:hAnsi="Times New Roman" w:cs="Times New Roman"/>
          <w:sz w:val="24"/>
          <w:szCs w:val="24"/>
        </w:rPr>
        <w:t xml:space="preserve"> dissolution/otavite precipitation processes for polluted waste water treatment. The major conclusions of this study are: </w:t>
      </w:r>
    </w:p>
    <w:p w:rsidR="00D2198F" w:rsidRPr="00D2198F" w:rsidRDefault="00D2198F" w:rsidP="00D2198F">
      <w:pPr>
        <w:numPr>
          <w:ilvl w:val="0"/>
          <w:numId w:val="2"/>
        </w:num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1</w:t>
      </w:r>
    </w:p>
    <w:p w:rsidR="00D2198F" w:rsidRPr="00D2198F" w:rsidRDefault="00D2198F" w:rsidP="00D2198F">
      <w:pPr>
        <w:spacing w:before="100" w:beforeAutospacing="1" w:after="100" w:afterAutospacing="1" w:line="240" w:lineRule="auto"/>
        <w:ind w:left="720"/>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 xml:space="preserve">The degree to which the mineral coatings affect the dissolution rates of the underlying mineral is strongly related to the precipitation mechanism of the coating. In cases where the crystallographic structures of the underlying mineral and its </w:t>
      </w:r>
    </w:p>
    <w:p w:rsidR="00D2198F" w:rsidRPr="00D2198F" w:rsidRDefault="00D2198F" w:rsidP="00D2198F">
      <w:pPr>
        <w:spacing w:before="100" w:beforeAutospacing="1" w:after="100" w:afterAutospacing="1" w:line="240" w:lineRule="auto"/>
        <w:outlineLvl w:val="1"/>
        <w:rPr>
          <w:rFonts w:ascii="Times New Roman" w:eastAsia="Times New Roman" w:hAnsi="Times New Roman" w:cs="Times New Roman"/>
          <w:b/>
          <w:bCs/>
          <w:sz w:val="36"/>
          <w:szCs w:val="36"/>
        </w:rPr>
      </w:pPr>
      <w:r w:rsidRPr="00D2198F">
        <w:rPr>
          <w:rFonts w:ascii="Times New Roman" w:eastAsia="Times New Roman" w:hAnsi="Times New Roman" w:cs="Times New Roman"/>
          <w:b/>
          <w:bCs/>
          <w:sz w:val="36"/>
          <w:szCs w:val="36"/>
        </w:rPr>
        <w:t>Acknowledgments</w:t>
      </w:r>
    </w:p>
    <w:p w:rsidR="00D2198F" w:rsidRPr="00D2198F" w:rsidRDefault="00D2198F" w:rsidP="00D2198F">
      <w:pPr>
        <w:spacing w:before="100" w:beforeAutospacing="1" w:after="100" w:afterAutospacing="1" w:line="240" w:lineRule="auto"/>
        <w:rPr>
          <w:rFonts w:ascii="Times New Roman" w:eastAsia="Times New Roman" w:hAnsi="Times New Roman" w:cs="Times New Roman"/>
          <w:sz w:val="24"/>
          <w:szCs w:val="24"/>
        </w:rPr>
      </w:pPr>
      <w:r w:rsidRPr="00D2198F">
        <w:rPr>
          <w:rFonts w:ascii="Times New Roman" w:eastAsia="Times New Roman" w:hAnsi="Times New Roman" w:cs="Times New Roman"/>
          <w:sz w:val="24"/>
          <w:szCs w:val="24"/>
        </w:rPr>
        <w:t xml:space="preserve">This manuscript benefited greatly from the comments and corrections of Dr. Robert Byrne and Jeanne Paquette. We would like to thank Claire </w:t>
      </w:r>
      <w:proofErr w:type="spellStart"/>
      <w:r w:rsidRPr="00D2198F">
        <w:rPr>
          <w:rFonts w:ascii="Times New Roman" w:eastAsia="Times New Roman" w:hAnsi="Times New Roman" w:cs="Times New Roman"/>
          <w:sz w:val="24"/>
          <w:szCs w:val="24"/>
        </w:rPr>
        <w:t>Chairat</w:t>
      </w:r>
      <w:proofErr w:type="spellEnd"/>
      <w:r w:rsidRPr="00D2198F">
        <w:rPr>
          <w:rFonts w:ascii="Times New Roman" w:eastAsia="Times New Roman" w:hAnsi="Times New Roman" w:cs="Times New Roman"/>
          <w:sz w:val="24"/>
          <w:szCs w:val="24"/>
        </w:rPr>
        <w:t xml:space="preserve"> and </w:t>
      </w:r>
      <w:proofErr w:type="spellStart"/>
      <w:r w:rsidRPr="00D2198F">
        <w:rPr>
          <w:rFonts w:ascii="Times New Roman" w:eastAsia="Times New Roman" w:hAnsi="Times New Roman" w:cs="Times New Roman"/>
          <w:sz w:val="24"/>
          <w:szCs w:val="24"/>
        </w:rPr>
        <w:t>Najatte</w:t>
      </w:r>
      <w:proofErr w:type="spellEnd"/>
      <w:r w:rsidRPr="00D2198F">
        <w:rPr>
          <w:rFonts w:ascii="Times New Roman" w:eastAsia="Times New Roman" w:hAnsi="Times New Roman" w:cs="Times New Roman"/>
          <w:sz w:val="24"/>
          <w:szCs w:val="24"/>
        </w:rPr>
        <w:t xml:space="preserve"> </w:t>
      </w:r>
      <w:proofErr w:type="spellStart"/>
      <w:r w:rsidRPr="00D2198F">
        <w:rPr>
          <w:rFonts w:ascii="Times New Roman" w:eastAsia="Times New Roman" w:hAnsi="Times New Roman" w:cs="Times New Roman"/>
          <w:sz w:val="24"/>
          <w:szCs w:val="24"/>
        </w:rPr>
        <w:t>Harouiya</w:t>
      </w:r>
      <w:proofErr w:type="spellEnd"/>
      <w:r w:rsidRPr="00D2198F">
        <w:rPr>
          <w:rFonts w:ascii="Times New Roman" w:eastAsia="Times New Roman" w:hAnsi="Times New Roman" w:cs="Times New Roman"/>
          <w:sz w:val="24"/>
          <w:szCs w:val="24"/>
        </w:rPr>
        <w:t xml:space="preserve"> for their technical assistance and support on the experimental part of the study. Juan D. Rodriguez, María Angeles Fernández, Amalia Jimenez and Angel </w:t>
      </w:r>
      <w:proofErr w:type="spellStart"/>
      <w:r w:rsidRPr="00D2198F">
        <w:rPr>
          <w:rFonts w:ascii="Times New Roman" w:eastAsia="Times New Roman" w:hAnsi="Times New Roman" w:cs="Times New Roman"/>
          <w:sz w:val="24"/>
          <w:szCs w:val="24"/>
        </w:rPr>
        <w:t>Andara</w:t>
      </w:r>
      <w:proofErr w:type="spellEnd"/>
      <w:r w:rsidRPr="00D2198F">
        <w:rPr>
          <w:rFonts w:ascii="Times New Roman" w:eastAsia="Times New Roman" w:hAnsi="Times New Roman" w:cs="Times New Roman"/>
          <w:sz w:val="24"/>
          <w:szCs w:val="24"/>
        </w:rPr>
        <w:t xml:space="preserve"> provided insightful comments and reviews. We also appreciated the technical help of the staff of the LMTG chemistry lab including Jocelyne </w:t>
      </w:r>
      <w:proofErr w:type="spellStart"/>
      <w:r w:rsidRPr="00D2198F">
        <w:rPr>
          <w:rFonts w:ascii="Times New Roman" w:eastAsia="Times New Roman" w:hAnsi="Times New Roman" w:cs="Times New Roman"/>
          <w:sz w:val="24"/>
          <w:szCs w:val="24"/>
        </w:rPr>
        <w:t>Escalier</w:t>
      </w:r>
      <w:proofErr w:type="spellEnd"/>
      <w:r w:rsidRPr="00D2198F">
        <w:rPr>
          <w:rFonts w:ascii="Times New Roman" w:eastAsia="Times New Roman" w:hAnsi="Times New Roman" w:cs="Times New Roman"/>
          <w:sz w:val="24"/>
          <w:szCs w:val="24"/>
        </w:rPr>
        <w:t>, and Jean Claude</w:t>
      </w:r>
    </w:p>
    <w:p w:rsidR="006039CE" w:rsidRDefault="006039CE"/>
    <w:sectPr w:rsidR="006039CE">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04F4DCA"/>
    <w:multiLevelType w:val="multilevel"/>
    <w:tmpl w:val="FA5E8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4884AA0"/>
    <w:multiLevelType w:val="multilevel"/>
    <w:tmpl w:val="5ADAF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198F"/>
    <w:rsid w:val="006039CE"/>
    <w:rsid w:val="00D2198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BF763F"/>
  <w15:chartTrackingRefBased/>
  <w15:docId w15:val="{CCDB364B-5EA1-476D-B902-36E8F8AA1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D2198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D2198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2198F"/>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D2198F"/>
    <w:rPr>
      <w:rFonts w:ascii="Times New Roman" w:eastAsia="Times New Roman" w:hAnsi="Times New Roman" w:cs="Times New Roman"/>
      <w:b/>
      <w:bCs/>
      <w:sz w:val="36"/>
      <w:szCs w:val="36"/>
    </w:rPr>
  </w:style>
  <w:style w:type="character" w:customStyle="1" w:styleId="title-text">
    <w:name w:val="title-text"/>
    <w:basedOn w:val="a0"/>
    <w:rsid w:val="00D2198F"/>
  </w:style>
  <w:style w:type="character" w:customStyle="1" w:styleId="sr-only">
    <w:name w:val="sr-only"/>
    <w:basedOn w:val="a0"/>
    <w:rsid w:val="00D2198F"/>
  </w:style>
  <w:style w:type="character" w:styleId="a3">
    <w:name w:val="Hyperlink"/>
    <w:basedOn w:val="a0"/>
    <w:uiPriority w:val="99"/>
    <w:semiHidden/>
    <w:unhideWhenUsed/>
    <w:rsid w:val="00D2198F"/>
    <w:rPr>
      <w:color w:val="0000FF"/>
      <w:u w:val="single"/>
    </w:rPr>
  </w:style>
  <w:style w:type="character" w:customStyle="1" w:styleId="anchor-text">
    <w:name w:val="anchor-text"/>
    <w:basedOn w:val="a0"/>
    <w:rsid w:val="00D2198F"/>
  </w:style>
  <w:style w:type="character" w:customStyle="1" w:styleId="react-xocs-alternative-link">
    <w:name w:val="react-xocs-alternative-link"/>
    <w:basedOn w:val="a0"/>
    <w:rsid w:val="00D2198F"/>
  </w:style>
  <w:style w:type="character" w:customStyle="1" w:styleId="given-name">
    <w:name w:val="given-name"/>
    <w:basedOn w:val="a0"/>
    <w:rsid w:val="00D2198F"/>
  </w:style>
  <w:style w:type="character" w:customStyle="1" w:styleId="text">
    <w:name w:val="text"/>
    <w:basedOn w:val="a0"/>
    <w:rsid w:val="00D2198F"/>
  </w:style>
  <w:style w:type="character" w:customStyle="1" w:styleId="author-ref">
    <w:name w:val="author-ref"/>
    <w:basedOn w:val="a0"/>
    <w:rsid w:val="00D2198F"/>
  </w:style>
  <w:style w:type="paragraph" w:styleId="a4">
    <w:name w:val="Normal (Web)"/>
    <w:basedOn w:val="a"/>
    <w:uiPriority w:val="99"/>
    <w:semiHidden/>
    <w:unhideWhenUsed/>
    <w:rsid w:val="00D2198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eact-xocs-list-item">
    <w:name w:val="react-xocs-list-item"/>
    <w:basedOn w:val="a"/>
    <w:rsid w:val="00D2198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label">
    <w:name w:val="list-label"/>
    <w:basedOn w:val="a0"/>
    <w:rsid w:val="00D2198F"/>
  </w:style>
  <w:style w:type="character" w:styleId="a5">
    <w:name w:val="Emphasis"/>
    <w:basedOn w:val="a0"/>
    <w:uiPriority w:val="20"/>
    <w:qFormat/>
    <w:rsid w:val="00D2198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50418004">
      <w:bodyDiv w:val="1"/>
      <w:marLeft w:val="0"/>
      <w:marRight w:val="0"/>
      <w:marTop w:val="0"/>
      <w:marBottom w:val="0"/>
      <w:divBdr>
        <w:top w:val="none" w:sz="0" w:space="0" w:color="auto"/>
        <w:left w:val="none" w:sz="0" w:space="0" w:color="auto"/>
        <w:bottom w:val="none" w:sz="0" w:space="0" w:color="auto"/>
        <w:right w:val="none" w:sz="0" w:space="0" w:color="auto"/>
      </w:divBdr>
      <w:divsChild>
        <w:div w:id="57673498">
          <w:marLeft w:val="0"/>
          <w:marRight w:val="0"/>
          <w:marTop w:val="0"/>
          <w:marBottom w:val="0"/>
          <w:divBdr>
            <w:top w:val="none" w:sz="0" w:space="0" w:color="auto"/>
            <w:left w:val="none" w:sz="0" w:space="0" w:color="auto"/>
            <w:bottom w:val="none" w:sz="0" w:space="0" w:color="auto"/>
            <w:right w:val="none" w:sz="0" w:space="0" w:color="auto"/>
          </w:divBdr>
          <w:divsChild>
            <w:div w:id="808400650">
              <w:marLeft w:val="0"/>
              <w:marRight w:val="0"/>
              <w:marTop w:val="0"/>
              <w:marBottom w:val="0"/>
              <w:divBdr>
                <w:top w:val="none" w:sz="0" w:space="0" w:color="auto"/>
                <w:left w:val="none" w:sz="0" w:space="0" w:color="auto"/>
                <w:bottom w:val="none" w:sz="0" w:space="0" w:color="auto"/>
                <w:right w:val="none" w:sz="0" w:space="0" w:color="auto"/>
              </w:divBdr>
              <w:divsChild>
                <w:div w:id="1152408250">
                  <w:marLeft w:val="0"/>
                  <w:marRight w:val="0"/>
                  <w:marTop w:val="0"/>
                  <w:marBottom w:val="0"/>
                  <w:divBdr>
                    <w:top w:val="none" w:sz="0" w:space="0" w:color="auto"/>
                    <w:left w:val="none" w:sz="0" w:space="0" w:color="auto"/>
                    <w:bottom w:val="none" w:sz="0" w:space="0" w:color="auto"/>
                    <w:right w:val="none" w:sz="0" w:space="0" w:color="auto"/>
                  </w:divBdr>
                  <w:divsChild>
                    <w:div w:id="2055539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087317">
          <w:marLeft w:val="0"/>
          <w:marRight w:val="0"/>
          <w:marTop w:val="0"/>
          <w:marBottom w:val="0"/>
          <w:divBdr>
            <w:top w:val="none" w:sz="0" w:space="0" w:color="auto"/>
            <w:left w:val="none" w:sz="0" w:space="0" w:color="auto"/>
            <w:bottom w:val="none" w:sz="0" w:space="0" w:color="auto"/>
            <w:right w:val="none" w:sz="0" w:space="0" w:color="auto"/>
          </w:divBdr>
          <w:divsChild>
            <w:div w:id="1690328492">
              <w:marLeft w:val="0"/>
              <w:marRight w:val="0"/>
              <w:marTop w:val="0"/>
              <w:marBottom w:val="0"/>
              <w:divBdr>
                <w:top w:val="none" w:sz="0" w:space="0" w:color="auto"/>
                <w:left w:val="none" w:sz="0" w:space="0" w:color="auto"/>
                <w:bottom w:val="none" w:sz="0" w:space="0" w:color="auto"/>
                <w:right w:val="none" w:sz="0" w:space="0" w:color="auto"/>
              </w:divBdr>
              <w:divsChild>
                <w:div w:id="1973946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747673">
          <w:marLeft w:val="0"/>
          <w:marRight w:val="0"/>
          <w:marTop w:val="0"/>
          <w:marBottom w:val="0"/>
          <w:divBdr>
            <w:top w:val="none" w:sz="0" w:space="0" w:color="auto"/>
            <w:left w:val="none" w:sz="0" w:space="0" w:color="auto"/>
            <w:bottom w:val="none" w:sz="0" w:space="0" w:color="auto"/>
            <w:right w:val="none" w:sz="0" w:space="0" w:color="auto"/>
          </w:divBdr>
          <w:divsChild>
            <w:div w:id="661860654">
              <w:marLeft w:val="0"/>
              <w:marRight w:val="0"/>
              <w:marTop w:val="0"/>
              <w:marBottom w:val="0"/>
              <w:divBdr>
                <w:top w:val="none" w:sz="0" w:space="0" w:color="auto"/>
                <w:left w:val="none" w:sz="0" w:space="0" w:color="auto"/>
                <w:bottom w:val="none" w:sz="0" w:space="0" w:color="auto"/>
                <w:right w:val="none" w:sz="0" w:space="0" w:color="auto"/>
              </w:divBdr>
              <w:divsChild>
                <w:div w:id="462161638">
                  <w:marLeft w:val="0"/>
                  <w:marRight w:val="0"/>
                  <w:marTop w:val="0"/>
                  <w:marBottom w:val="0"/>
                  <w:divBdr>
                    <w:top w:val="none" w:sz="0" w:space="0" w:color="auto"/>
                    <w:left w:val="none" w:sz="0" w:space="0" w:color="auto"/>
                    <w:bottom w:val="none" w:sz="0" w:space="0" w:color="auto"/>
                    <w:right w:val="none" w:sz="0" w:space="0" w:color="auto"/>
                  </w:divBdr>
                  <w:divsChild>
                    <w:div w:id="536435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6749458">
          <w:marLeft w:val="0"/>
          <w:marRight w:val="0"/>
          <w:marTop w:val="0"/>
          <w:marBottom w:val="0"/>
          <w:divBdr>
            <w:top w:val="none" w:sz="0" w:space="0" w:color="auto"/>
            <w:left w:val="none" w:sz="0" w:space="0" w:color="auto"/>
            <w:bottom w:val="none" w:sz="0" w:space="0" w:color="auto"/>
            <w:right w:val="none" w:sz="0" w:space="0" w:color="auto"/>
          </w:divBdr>
          <w:divsChild>
            <w:div w:id="282082471">
              <w:marLeft w:val="0"/>
              <w:marRight w:val="0"/>
              <w:marTop w:val="0"/>
              <w:marBottom w:val="0"/>
              <w:divBdr>
                <w:top w:val="none" w:sz="0" w:space="0" w:color="auto"/>
                <w:left w:val="none" w:sz="0" w:space="0" w:color="auto"/>
                <w:bottom w:val="none" w:sz="0" w:space="0" w:color="auto"/>
                <w:right w:val="none" w:sz="0" w:space="0" w:color="auto"/>
              </w:divBdr>
            </w:div>
          </w:divsChild>
        </w:div>
        <w:div w:id="1690837769">
          <w:marLeft w:val="0"/>
          <w:marRight w:val="0"/>
          <w:marTop w:val="0"/>
          <w:marBottom w:val="0"/>
          <w:divBdr>
            <w:top w:val="none" w:sz="0" w:space="0" w:color="auto"/>
            <w:left w:val="none" w:sz="0" w:space="0" w:color="auto"/>
            <w:bottom w:val="none" w:sz="0" w:space="0" w:color="auto"/>
            <w:right w:val="none" w:sz="0" w:space="0" w:color="auto"/>
          </w:divBdr>
          <w:divsChild>
            <w:div w:id="661618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sciencedirect.com/topics/earth-and-planetary-sciences/pore-spac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aragonite" TargetMode="External"/><Relationship Id="rId5" Type="http://schemas.openxmlformats.org/officeDocument/2006/relationships/hyperlink" Target="https://doi.org/10.1016/j.gca.2005.07.016"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1325</Words>
  <Characters>7556</Characters>
  <Application>Microsoft Office Word</Application>
  <DocSecurity>0</DocSecurity>
  <Lines>62</Lines>
  <Paragraphs>17</Paragraphs>
  <ScaleCrop>false</ScaleCrop>
  <Company/>
  <LinksUpToDate>false</LinksUpToDate>
  <CharactersWithSpaces>8864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2023-11-11T04:02:00Z</dcterms:created>
  <dcterms:modified xsi:type="dcterms:W3CDTF">2023-11-11T04:03:00Z</dcterms:modified>
</cp:coreProperties>
</file>