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F7961" w:rsidRPr="007F7961" w:rsidRDefault="007F7961" w:rsidP="007F7961">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F7961">
        <w:rPr>
          <w:rFonts w:ascii="Times New Roman" w:eastAsia="Times New Roman" w:hAnsi="Times New Roman" w:cs="Times New Roman"/>
          <w:b/>
          <w:bCs/>
          <w:kern w:val="36"/>
          <w:sz w:val="48"/>
          <w:szCs w:val="48"/>
        </w:rPr>
        <w:t>Dissolution of nanocrystalline fluorite powders: An investigation by XRD and solution chemistry</w:t>
      </w:r>
    </w:p>
    <w:p w:rsidR="007F7961" w:rsidRPr="007F7961" w:rsidRDefault="007F7961" w:rsidP="007F7961">
      <w:pPr>
        <w:spacing w:after="0"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Author links open overlay panel</w:t>
      </w:r>
    </w:p>
    <w:p w:rsidR="007F7961" w:rsidRPr="007F7961" w:rsidRDefault="007F7961" w:rsidP="007F7961">
      <w:pPr>
        <w:spacing w:after="0"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 xml:space="preserve">, , , , </w:t>
      </w:r>
    </w:p>
    <w:p w:rsidR="007F7961" w:rsidRPr="007F7961" w:rsidRDefault="007F7961" w:rsidP="007F7961">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F7961">
          <w:rPr>
            <w:rFonts w:ascii="Times New Roman" w:eastAsia="Times New Roman" w:hAnsi="Times New Roman" w:cs="Times New Roman"/>
            <w:color w:val="0000FF"/>
            <w:sz w:val="24"/>
            <w:szCs w:val="24"/>
            <w:u w:val="single"/>
          </w:rPr>
          <w:t>https://doi.org/10.1016/j.gca.2005.04.002</w:t>
        </w:r>
      </w:hyperlink>
      <w:bookmarkStart w:id="0" w:name="_GoBack"/>
      <w:bookmarkEnd w:id="0"/>
      <w:r w:rsidRPr="007F7961">
        <w:rPr>
          <w:rFonts w:ascii="Times New Roman" w:eastAsia="Times New Roman" w:hAnsi="Times New Roman" w:cs="Times New Roman"/>
          <w:sz w:val="24"/>
          <w:szCs w:val="24"/>
        </w:rPr>
        <w:t xml:space="preserve"> </w:t>
      </w:r>
    </w:p>
    <w:p w:rsidR="007F7961" w:rsidRPr="007F7961" w:rsidRDefault="007F7961" w:rsidP="007F7961">
      <w:pPr>
        <w:spacing w:before="100" w:beforeAutospacing="1" w:after="100" w:afterAutospacing="1" w:line="240" w:lineRule="auto"/>
        <w:outlineLvl w:val="1"/>
        <w:rPr>
          <w:rFonts w:ascii="Times New Roman" w:eastAsia="Times New Roman" w:hAnsi="Times New Roman" w:cs="Times New Roman"/>
          <w:b/>
          <w:bCs/>
          <w:sz w:val="36"/>
          <w:szCs w:val="36"/>
        </w:rPr>
      </w:pPr>
      <w:r w:rsidRPr="007F7961">
        <w:rPr>
          <w:rFonts w:ascii="Times New Roman" w:eastAsia="Times New Roman" w:hAnsi="Times New Roman" w:cs="Times New Roman"/>
          <w:b/>
          <w:bCs/>
          <w:sz w:val="36"/>
          <w:szCs w:val="36"/>
        </w:rPr>
        <w:t>Abstract</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 xml:space="preserve">The effect of lattice disorder and mineral surface area on the reactivity of finely ground </w:t>
      </w:r>
      <w:hyperlink r:id="rId5" w:tooltip="Learn more about fluorite from ScienceDirect's AI-generated Topic Pages" w:history="1">
        <w:r w:rsidRPr="007F7961">
          <w:rPr>
            <w:rFonts w:ascii="Times New Roman" w:eastAsia="Times New Roman" w:hAnsi="Times New Roman" w:cs="Times New Roman"/>
            <w:color w:val="0000FF"/>
            <w:sz w:val="24"/>
            <w:szCs w:val="24"/>
            <w:u w:val="single"/>
          </w:rPr>
          <w:t>fluorite</w:t>
        </w:r>
      </w:hyperlink>
      <w:r w:rsidRPr="007F7961">
        <w:rPr>
          <w:rFonts w:ascii="Times New Roman" w:eastAsia="Times New Roman" w:hAnsi="Times New Roman" w:cs="Times New Roman"/>
          <w:sz w:val="24"/>
          <w:szCs w:val="24"/>
        </w:rPr>
        <w:t xml:space="preserve"> was studied on ball-milled powders. Structural information was provided by X-ray whole powder pattern modeling (WPPM). The mean size of coherent scattering domains decreases with milling time from 70 nm to </w:t>
      </w:r>
      <w:r w:rsidRPr="007F7961">
        <w:rPr>
          <w:rFonts w:ascii="Cambria Math" w:eastAsia="Times New Roman" w:hAnsi="Cambria Math" w:cs="Cambria Math"/>
          <w:sz w:val="24"/>
          <w:szCs w:val="24"/>
        </w:rPr>
        <w:t>∼</w:t>
      </w:r>
      <w:r w:rsidRPr="007F7961">
        <w:rPr>
          <w:rFonts w:ascii="Times New Roman" w:eastAsia="Times New Roman" w:hAnsi="Times New Roman" w:cs="Times New Roman"/>
          <w:sz w:val="24"/>
          <w:szCs w:val="24"/>
        </w:rPr>
        <w:t>20 nm, whereas the density of lattice defects increases with both time and intensity of milling treatment, from 4 × 10</w:t>
      </w:r>
      <w:r w:rsidRPr="007F7961">
        <w:rPr>
          <w:rFonts w:ascii="Times New Roman" w:eastAsia="Times New Roman" w:hAnsi="Times New Roman" w:cs="Times New Roman"/>
          <w:sz w:val="24"/>
          <w:szCs w:val="24"/>
          <w:vertAlign w:val="superscript"/>
        </w:rPr>
        <w:t>15</w:t>
      </w:r>
      <w:r w:rsidRPr="007F7961">
        <w:rPr>
          <w:rFonts w:ascii="Times New Roman" w:eastAsia="Times New Roman" w:hAnsi="Times New Roman" w:cs="Times New Roman"/>
          <w:sz w:val="24"/>
          <w:szCs w:val="24"/>
        </w:rPr>
        <w:t xml:space="preserve"> m</w:t>
      </w:r>
      <w:r w:rsidRPr="007F7961">
        <w:rPr>
          <w:rFonts w:ascii="Times New Roman" w:eastAsia="Times New Roman" w:hAnsi="Times New Roman" w:cs="Times New Roman"/>
          <w:sz w:val="24"/>
          <w:szCs w:val="24"/>
          <w:vertAlign w:val="superscript"/>
        </w:rPr>
        <w:t>-2</w:t>
      </w:r>
      <w:r w:rsidRPr="007F7961">
        <w:rPr>
          <w:rFonts w:ascii="Times New Roman" w:eastAsia="Times New Roman" w:hAnsi="Times New Roman" w:cs="Times New Roman"/>
          <w:sz w:val="24"/>
          <w:szCs w:val="24"/>
        </w:rPr>
        <w:t xml:space="preserve"> to 24 × 10</w:t>
      </w:r>
      <w:r w:rsidRPr="007F7961">
        <w:rPr>
          <w:rFonts w:ascii="Times New Roman" w:eastAsia="Times New Roman" w:hAnsi="Times New Roman" w:cs="Times New Roman"/>
          <w:sz w:val="24"/>
          <w:szCs w:val="24"/>
          <w:vertAlign w:val="superscript"/>
        </w:rPr>
        <w:t>15</w:t>
      </w:r>
      <w:r w:rsidRPr="007F7961">
        <w:rPr>
          <w:rFonts w:ascii="Times New Roman" w:eastAsia="Times New Roman" w:hAnsi="Times New Roman" w:cs="Times New Roman"/>
          <w:sz w:val="24"/>
          <w:szCs w:val="24"/>
        </w:rPr>
        <w:t xml:space="preserve"> m</w:t>
      </w:r>
      <w:r w:rsidRPr="007F7961">
        <w:rPr>
          <w:rFonts w:ascii="Times New Roman" w:eastAsia="Times New Roman" w:hAnsi="Times New Roman" w:cs="Times New Roman"/>
          <w:sz w:val="24"/>
          <w:szCs w:val="24"/>
          <w:vertAlign w:val="superscript"/>
        </w:rPr>
        <w:t>-2</w:t>
      </w:r>
      <w:r w:rsidRPr="007F7961">
        <w:rPr>
          <w:rFonts w:ascii="Times New Roman" w:eastAsia="Times New Roman" w:hAnsi="Times New Roman" w:cs="Times New Roman"/>
          <w:sz w:val="24"/>
          <w:szCs w:val="24"/>
        </w:rPr>
        <w:t xml:space="preserve">. High resolution </w:t>
      </w:r>
      <w:hyperlink r:id="rId6" w:tooltip="Learn more about transmission electron microscopy from ScienceDirect's AI-generated Topic Pages" w:history="1">
        <w:r w:rsidRPr="007F7961">
          <w:rPr>
            <w:rFonts w:ascii="Times New Roman" w:eastAsia="Times New Roman" w:hAnsi="Times New Roman" w:cs="Times New Roman"/>
            <w:color w:val="0000FF"/>
            <w:sz w:val="24"/>
            <w:szCs w:val="24"/>
            <w:u w:val="single"/>
          </w:rPr>
          <w:t>transmission electron microscopy</w:t>
        </w:r>
      </w:hyperlink>
      <w:r w:rsidRPr="007F7961">
        <w:rPr>
          <w:rFonts w:ascii="Times New Roman" w:eastAsia="Times New Roman" w:hAnsi="Times New Roman" w:cs="Times New Roman"/>
          <w:sz w:val="24"/>
          <w:szCs w:val="24"/>
        </w:rPr>
        <w:t xml:space="preserve"> (HRTEM) of ground fluorite grains shows several line defects and a general tendency of nanometric crystalline domains to agglomerate in larger grains.</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 xml:space="preserve">Solution chemistry was investigated using batch reactors with free drift of solution saturation state with respect to fluorite. Total surface area was measured by the </w:t>
      </w:r>
      <w:proofErr w:type="spellStart"/>
      <w:r w:rsidRPr="007F7961">
        <w:rPr>
          <w:rFonts w:ascii="Times New Roman" w:eastAsia="Times New Roman" w:hAnsi="Times New Roman" w:cs="Times New Roman"/>
          <w:sz w:val="24"/>
          <w:szCs w:val="24"/>
        </w:rPr>
        <w:t>Brunaver</w:t>
      </w:r>
      <w:proofErr w:type="spellEnd"/>
      <w:r w:rsidRPr="007F7961">
        <w:rPr>
          <w:rFonts w:ascii="Times New Roman" w:eastAsia="Times New Roman" w:hAnsi="Times New Roman" w:cs="Times New Roman"/>
          <w:sz w:val="24"/>
          <w:szCs w:val="24"/>
        </w:rPr>
        <w:t>, Emmet and Teller (BET) method, and dissolution rates were measured at pH = 2 (HCl) and T = 295 K. In far from equilibrium conditions, dissolution rates normalized by BET area do not increase with the dislocation density. In near-equilibrium condition, however, measured stationary ionic product clearly increases with both time and intensity of milling treatment. Thermodynamic predictions of the solubility constant indicate negligible or little effect of total surface area. Consequently, the observed increase in the stationary ionic product can be related to the increasing lattice defect content. This confirms the significant role of dislocation outcrops on mineral dissolution in close to equilibrium conditions.</w:t>
      </w:r>
    </w:p>
    <w:p w:rsidR="007F7961" w:rsidRPr="007F7961" w:rsidRDefault="007F7961" w:rsidP="007F7961">
      <w:pPr>
        <w:spacing w:before="100" w:beforeAutospacing="1" w:after="100" w:afterAutospacing="1" w:line="240" w:lineRule="auto"/>
        <w:outlineLvl w:val="1"/>
        <w:rPr>
          <w:rFonts w:ascii="Times New Roman" w:eastAsia="Times New Roman" w:hAnsi="Times New Roman" w:cs="Times New Roman"/>
          <w:b/>
          <w:bCs/>
          <w:sz w:val="36"/>
          <w:szCs w:val="36"/>
        </w:rPr>
      </w:pPr>
      <w:r w:rsidRPr="007F7961">
        <w:rPr>
          <w:rFonts w:ascii="Times New Roman" w:eastAsia="Times New Roman" w:hAnsi="Times New Roman" w:cs="Times New Roman"/>
          <w:b/>
          <w:bCs/>
          <w:sz w:val="36"/>
          <w:szCs w:val="36"/>
        </w:rPr>
        <w:t>Introduction</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Grain size and surface properties of crystals undergoing dissolution/precipitation play a central role in many Earth-surface processes, such as biomineralization (</w:t>
      </w:r>
      <w:proofErr w:type="spellStart"/>
      <w:r w:rsidRPr="007F7961">
        <w:rPr>
          <w:rFonts w:ascii="Times New Roman" w:eastAsia="Times New Roman" w:hAnsi="Times New Roman" w:cs="Times New Roman"/>
          <w:sz w:val="24"/>
          <w:szCs w:val="24"/>
        </w:rPr>
        <w:t>Labrenz</w:t>
      </w:r>
      <w:proofErr w:type="spellEnd"/>
      <w:r w:rsidRPr="007F7961">
        <w:rPr>
          <w:rFonts w:ascii="Times New Roman" w:eastAsia="Times New Roman" w:hAnsi="Times New Roman" w:cs="Times New Roman"/>
          <w:sz w:val="24"/>
          <w:szCs w:val="24"/>
        </w:rPr>
        <w:t xml:space="preserve"> et al 2000, Lower et al 2001), chemical weathering (</w:t>
      </w:r>
      <w:proofErr w:type="spellStart"/>
      <w:r w:rsidRPr="007F7961">
        <w:rPr>
          <w:rFonts w:ascii="Times New Roman" w:eastAsia="Times New Roman" w:hAnsi="Times New Roman" w:cs="Times New Roman"/>
          <w:sz w:val="24"/>
          <w:szCs w:val="24"/>
        </w:rPr>
        <w:t>Lasaga</w:t>
      </w:r>
      <w:proofErr w:type="spellEnd"/>
      <w:r w:rsidRPr="007F7961">
        <w:rPr>
          <w:rFonts w:ascii="Times New Roman" w:eastAsia="Times New Roman" w:hAnsi="Times New Roman" w:cs="Times New Roman"/>
          <w:sz w:val="24"/>
          <w:szCs w:val="24"/>
        </w:rPr>
        <w:t xml:space="preserve">, 1998), and acid mine drainage (Banfield and Zhang, 2001). As largely documented in the literature (Teng et al 1998, Land et al 1999, Madden and </w:t>
      </w:r>
      <w:proofErr w:type="spellStart"/>
      <w:r w:rsidRPr="007F7961">
        <w:rPr>
          <w:rFonts w:ascii="Times New Roman" w:eastAsia="Times New Roman" w:hAnsi="Times New Roman" w:cs="Times New Roman"/>
          <w:sz w:val="24"/>
          <w:szCs w:val="24"/>
        </w:rPr>
        <w:t>Hochella</w:t>
      </w:r>
      <w:proofErr w:type="spellEnd"/>
      <w:r w:rsidRPr="007F7961">
        <w:rPr>
          <w:rFonts w:ascii="Times New Roman" w:eastAsia="Times New Roman" w:hAnsi="Times New Roman" w:cs="Times New Roman"/>
          <w:sz w:val="24"/>
          <w:szCs w:val="24"/>
        </w:rPr>
        <w:t xml:space="preserve"> 2005; and references therein), several factors affect the reaction kinetics of mineral surfaces. For instance, dissolution rate can increase as a response to an increase in surface heterogeneities (e.g., kinks, edge, and terrace atomic sites) and surface outcrops of lattice defects (e.g., dislocations, stacking faults, etc.). Casey et al. (1988) investigated the reactivity of strained rutile (TiO</w:t>
      </w:r>
      <w:r w:rsidRPr="007F7961">
        <w:rPr>
          <w:rFonts w:ascii="Times New Roman" w:eastAsia="Times New Roman" w:hAnsi="Times New Roman" w:cs="Times New Roman"/>
          <w:sz w:val="24"/>
          <w:szCs w:val="24"/>
          <w:vertAlign w:val="subscript"/>
        </w:rPr>
        <w:t>2</w:t>
      </w:r>
      <w:r w:rsidRPr="007F7961">
        <w:rPr>
          <w:rFonts w:ascii="Times New Roman" w:eastAsia="Times New Roman" w:hAnsi="Times New Roman" w:cs="Times New Roman"/>
          <w:sz w:val="24"/>
          <w:szCs w:val="24"/>
        </w:rPr>
        <w:t>) crystalline powder and Schott et al. (1989) investigated the reactivity of strained calcite (CaCO</w:t>
      </w:r>
      <w:r w:rsidRPr="007F7961">
        <w:rPr>
          <w:rFonts w:ascii="Times New Roman" w:eastAsia="Times New Roman" w:hAnsi="Times New Roman" w:cs="Times New Roman"/>
          <w:sz w:val="24"/>
          <w:szCs w:val="24"/>
          <w:vertAlign w:val="subscript"/>
        </w:rPr>
        <w:t>3</w:t>
      </w:r>
      <w:r w:rsidRPr="007F7961">
        <w:rPr>
          <w:rFonts w:ascii="Times New Roman" w:eastAsia="Times New Roman" w:hAnsi="Times New Roman" w:cs="Times New Roman"/>
          <w:sz w:val="24"/>
          <w:szCs w:val="24"/>
        </w:rPr>
        <w:t xml:space="preserve">) single crystals. Both authors found an increase of </w:t>
      </w:r>
      <w:r w:rsidRPr="007F7961">
        <w:rPr>
          <w:rFonts w:ascii="Cambria Math" w:eastAsia="Times New Roman" w:hAnsi="Cambria Math" w:cs="Cambria Math"/>
          <w:sz w:val="24"/>
          <w:szCs w:val="24"/>
        </w:rPr>
        <w:t>∼</w:t>
      </w:r>
      <w:r w:rsidRPr="007F7961">
        <w:rPr>
          <w:rFonts w:ascii="Times New Roman" w:eastAsia="Times New Roman" w:hAnsi="Times New Roman" w:cs="Times New Roman"/>
          <w:sz w:val="24"/>
          <w:szCs w:val="24"/>
        </w:rPr>
        <w:t>two to three times in dissolution rates for strained crystals with dislocation densities up to 4 × 10</w:t>
      </w:r>
      <w:r w:rsidRPr="007F7961">
        <w:rPr>
          <w:rFonts w:ascii="Times New Roman" w:eastAsia="Times New Roman" w:hAnsi="Times New Roman" w:cs="Times New Roman"/>
          <w:sz w:val="24"/>
          <w:szCs w:val="24"/>
          <w:vertAlign w:val="superscript"/>
        </w:rPr>
        <w:t>15</w:t>
      </w:r>
      <w:r w:rsidRPr="007F7961">
        <w:rPr>
          <w:rFonts w:ascii="Times New Roman" w:eastAsia="Times New Roman" w:hAnsi="Times New Roman" w:cs="Times New Roman"/>
          <w:sz w:val="24"/>
          <w:szCs w:val="24"/>
        </w:rPr>
        <w:t xml:space="preserve"> m</w:t>
      </w:r>
      <w:r w:rsidRPr="007F7961">
        <w:rPr>
          <w:rFonts w:ascii="Times New Roman" w:eastAsia="Times New Roman" w:hAnsi="Times New Roman" w:cs="Times New Roman"/>
          <w:sz w:val="24"/>
          <w:szCs w:val="24"/>
          <w:vertAlign w:val="superscript"/>
        </w:rPr>
        <w:t>−2</w:t>
      </w:r>
      <w:r w:rsidRPr="007F7961">
        <w:rPr>
          <w:rFonts w:ascii="Times New Roman" w:eastAsia="Times New Roman" w:hAnsi="Times New Roman" w:cs="Times New Roman"/>
          <w:sz w:val="24"/>
          <w:szCs w:val="24"/>
        </w:rPr>
        <w:t>.</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 xml:space="preserve">An increase in the value of solubility constant can be observed when decreasing the grain size, that is, when the surface curvature of grains increases (Kelvin effect; see </w:t>
      </w:r>
      <w:proofErr w:type="spellStart"/>
      <w:r w:rsidRPr="007F7961">
        <w:rPr>
          <w:rFonts w:ascii="Times New Roman" w:eastAsia="Times New Roman" w:hAnsi="Times New Roman" w:cs="Times New Roman"/>
          <w:sz w:val="24"/>
          <w:szCs w:val="24"/>
        </w:rPr>
        <w:t>Petrovich</w:t>
      </w:r>
      <w:proofErr w:type="spellEnd"/>
      <w:r w:rsidRPr="007F7961">
        <w:rPr>
          <w:rFonts w:ascii="Times New Roman" w:eastAsia="Times New Roman" w:hAnsi="Times New Roman" w:cs="Times New Roman"/>
          <w:sz w:val="24"/>
          <w:szCs w:val="24"/>
        </w:rPr>
        <w:t xml:space="preserve"> 1981, Parks 1990). A </w:t>
      </w:r>
      <w:r w:rsidRPr="007F7961">
        <w:rPr>
          <w:rFonts w:ascii="Times New Roman" w:eastAsia="Times New Roman" w:hAnsi="Times New Roman" w:cs="Times New Roman"/>
          <w:sz w:val="24"/>
          <w:szCs w:val="24"/>
        </w:rPr>
        <w:lastRenderedPageBreak/>
        <w:t xml:space="preserve">fairly large body of literature documents a strong effect of size in the nanometer range relevant to many environmental and industrial processes (Penn and Banfield 1998, </w:t>
      </w:r>
      <w:proofErr w:type="spellStart"/>
      <w:r w:rsidRPr="007F7961">
        <w:rPr>
          <w:rFonts w:ascii="Times New Roman" w:eastAsia="Times New Roman" w:hAnsi="Times New Roman" w:cs="Times New Roman"/>
          <w:sz w:val="24"/>
          <w:szCs w:val="24"/>
        </w:rPr>
        <w:t>Labrenz</w:t>
      </w:r>
      <w:proofErr w:type="spellEnd"/>
      <w:r w:rsidRPr="007F7961">
        <w:rPr>
          <w:rFonts w:ascii="Times New Roman" w:eastAsia="Times New Roman" w:hAnsi="Times New Roman" w:cs="Times New Roman"/>
          <w:sz w:val="24"/>
          <w:szCs w:val="24"/>
        </w:rPr>
        <w:t xml:space="preserve"> et al 2000, Lower et al 2001, Campbell et al 2002, Hannon et al 2002).</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Fine mechanical comminution of crystals produces an increase in both the amount of total available surface and in lattice defect density. This could involve a higher surface reactivity with respect to solutions. To study these phenomena, it is therefore necessary to measure the total amount of mineral surface available for the reaction, as well as grain size/shape and lattice defects in nanocrystalline powders. This microstructural information can be then correlated with the variation of surface reactivity, directly assessed from the dissolution rates of the ground powders.</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 xml:space="preserve">Recent advances in the line profile analysis (LPA) of X-ray powder diffraction (XRPD) provide a much deeper understanding of the microstructure of nanocrystalline powders. In particular, whole powder pattern modeling (WPPM; </w:t>
      </w:r>
      <w:proofErr w:type="spellStart"/>
      <w:r w:rsidRPr="007F7961">
        <w:rPr>
          <w:rFonts w:ascii="Times New Roman" w:eastAsia="Times New Roman" w:hAnsi="Times New Roman" w:cs="Times New Roman"/>
          <w:sz w:val="24"/>
          <w:szCs w:val="24"/>
        </w:rPr>
        <w:t>Scardi</w:t>
      </w:r>
      <w:proofErr w:type="spellEnd"/>
      <w:r w:rsidRPr="007F7961">
        <w:rPr>
          <w:rFonts w:ascii="Times New Roman" w:eastAsia="Times New Roman" w:hAnsi="Times New Roman" w:cs="Times New Roman"/>
          <w:sz w:val="24"/>
          <w:szCs w:val="24"/>
        </w:rPr>
        <w:t xml:space="preserve"> and Leoni, 2002) can provide a complete microstructural analysis of finely divided powders based on physical models of the microstructure. The power of this method has already been shown in the evaluation of grain size distribution and lattice defect content in nanocrystalline ball-milled metals (</w:t>
      </w:r>
      <w:proofErr w:type="spellStart"/>
      <w:r w:rsidRPr="007F7961">
        <w:rPr>
          <w:rFonts w:ascii="Times New Roman" w:eastAsia="Times New Roman" w:hAnsi="Times New Roman" w:cs="Times New Roman"/>
          <w:sz w:val="24"/>
          <w:szCs w:val="24"/>
        </w:rPr>
        <w:t>Scardi</w:t>
      </w:r>
      <w:proofErr w:type="spellEnd"/>
      <w:r w:rsidRPr="007F7961">
        <w:rPr>
          <w:rFonts w:ascii="Times New Roman" w:eastAsia="Times New Roman" w:hAnsi="Times New Roman" w:cs="Times New Roman"/>
          <w:sz w:val="24"/>
          <w:szCs w:val="24"/>
        </w:rPr>
        <w:t xml:space="preserve"> and Leoni 2002, </w:t>
      </w:r>
      <w:proofErr w:type="spellStart"/>
      <w:r w:rsidRPr="007F7961">
        <w:rPr>
          <w:rFonts w:ascii="Times New Roman" w:eastAsia="Times New Roman" w:hAnsi="Times New Roman" w:cs="Times New Roman"/>
          <w:sz w:val="24"/>
          <w:szCs w:val="24"/>
        </w:rPr>
        <w:t>Scardi</w:t>
      </w:r>
      <w:proofErr w:type="spellEnd"/>
      <w:r w:rsidRPr="007F7961">
        <w:rPr>
          <w:rFonts w:ascii="Times New Roman" w:eastAsia="Times New Roman" w:hAnsi="Times New Roman" w:cs="Times New Roman"/>
          <w:sz w:val="24"/>
          <w:szCs w:val="24"/>
        </w:rPr>
        <w:t xml:space="preserve"> and Leoni 2004) and in ceria nanocrystals produced by sol-gel (Leoni and </w:t>
      </w:r>
      <w:proofErr w:type="spellStart"/>
      <w:r w:rsidRPr="007F7961">
        <w:rPr>
          <w:rFonts w:ascii="Times New Roman" w:eastAsia="Times New Roman" w:hAnsi="Times New Roman" w:cs="Times New Roman"/>
          <w:sz w:val="24"/>
          <w:szCs w:val="24"/>
        </w:rPr>
        <w:t>Scardi</w:t>
      </w:r>
      <w:proofErr w:type="spellEnd"/>
      <w:r w:rsidRPr="007F7961">
        <w:rPr>
          <w:rFonts w:ascii="Times New Roman" w:eastAsia="Times New Roman" w:hAnsi="Times New Roman" w:cs="Times New Roman"/>
          <w:sz w:val="24"/>
          <w:szCs w:val="24"/>
        </w:rPr>
        <w:t xml:space="preserve"> 2004, Leoni et al 2004).</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Because of its simple chemistry and crystal morphology, fluorite (CaF</w:t>
      </w:r>
      <w:r w:rsidRPr="007F7961">
        <w:rPr>
          <w:rFonts w:ascii="Times New Roman" w:eastAsia="Times New Roman" w:hAnsi="Times New Roman" w:cs="Times New Roman"/>
          <w:sz w:val="24"/>
          <w:szCs w:val="24"/>
          <w:vertAlign w:val="subscript"/>
        </w:rPr>
        <w:t>2</w:t>
      </w:r>
      <w:r w:rsidRPr="007F7961">
        <w:rPr>
          <w:rFonts w:ascii="Times New Roman" w:eastAsia="Times New Roman" w:hAnsi="Times New Roman" w:cs="Times New Roman"/>
          <w:sz w:val="24"/>
          <w:szCs w:val="24"/>
        </w:rPr>
        <w:t>) is a good candidate for microstructural and dissolution studies. In the present work, the effect of increasing surface area and lattice disorder on fluorite reactivity is investigated. High-energy ball milling is used to introduce lattice disorder by grain comminution and increase in lattice defect density, whereas WPPM and solution chemistry are used, respectively, for the microstructural and dissolution analysis of the milled powders.</w:t>
      </w:r>
    </w:p>
    <w:p w:rsidR="007F7961" w:rsidRPr="007F7961" w:rsidRDefault="007F7961" w:rsidP="007F7961">
      <w:pPr>
        <w:spacing w:before="100" w:beforeAutospacing="1" w:after="100" w:afterAutospacing="1" w:line="240" w:lineRule="auto"/>
        <w:outlineLvl w:val="1"/>
        <w:rPr>
          <w:rFonts w:ascii="Times New Roman" w:eastAsia="Times New Roman" w:hAnsi="Times New Roman" w:cs="Times New Roman"/>
          <w:b/>
          <w:bCs/>
          <w:sz w:val="36"/>
          <w:szCs w:val="36"/>
        </w:rPr>
      </w:pPr>
      <w:r w:rsidRPr="007F7961">
        <w:rPr>
          <w:rFonts w:ascii="Times New Roman" w:eastAsia="Times New Roman" w:hAnsi="Times New Roman" w:cs="Times New Roman"/>
          <w:b/>
          <w:bCs/>
          <w:sz w:val="36"/>
          <w:szCs w:val="36"/>
        </w:rPr>
        <w:t>Section snippets</w:t>
      </w:r>
    </w:p>
    <w:p w:rsidR="007F7961" w:rsidRPr="007F7961" w:rsidRDefault="007F7961" w:rsidP="007F7961">
      <w:pPr>
        <w:spacing w:before="100" w:beforeAutospacing="1" w:after="100" w:afterAutospacing="1" w:line="240" w:lineRule="auto"/>
        <w:outlineLvl w:val="1"/>
        <w:rPr>
          <w:rFonts w:ascii="Times New Roman" w:eastAsia="Times New Roman" w:hAnsi="Times New Roman" w:cs="Times New Roman"/>
          <w:b/>
          <w:bCs/>
          <w:sz w:val="36"/>
          <w:szCs w:val="36"/>
        </w:rPr>
      </w:pPr>
      <w:r w:rsidRPr="007F7961">
        <w:rPr>
          <w:rFonts w:ascii="Times New Roman" w:eastAsia="Times New Roman" w:hAnsi="Times New Roman" w:cs="Times New Roman"/>
          <w:b/>
          <w:bCs/>
          <w:sz w:val="36"/>
          <w:szCs w:val="36"/>
        </w:rPr>
        <w:t>Experimental methods</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 xml:space="preserve">Analytical-grade synthetic fluorite (Carlo </w:t>
      </w:r>
      <w:proofErr w:type="spellStart"/>
      <w:r w:rsidRPr="007F7961">
        <w:rPr>
          <w:rFonts w:ascii="Times New Roman" w:eastAsia="Times New Roman" w:hAnsi="Times New Roman" w:cs="Times New Roman"/>
          <w:sz w:val="24"/>
          <w:szCs w:val="24"/>
        </w:rPr>
        <w:t>Erba</w:t>
      </w:r>
      <w:proofErr w:type="spellEnd"/>
      <w:r w:rsidRPr="007F7961">
        <w:rPr>
          <w:rFonts w:ascii="Times New Roman" w:eastAsia="Times New Roman" w:hAnsi="Times New Roman" w:cs="Times New Roman"/>
          <w:sz w:val="24"/>
          <w:szCs w:val="24"/>
        </w:rPr>
        <w:t xml:space="preserve"> </w:t>
      </w:r>
      <w:proofErr w:type="spellStart"/>
      <w:r w:rsidRPr="007F7961">
        <w:rPr>
          <w:rFonts w:ascii="Times New Roman" w:eastAsia="Times New Roman" w:hAnsi="Times New Roman" w:cs="Times New Roman"/>
          <w:sz w:val="24"/>
          <w:szCs w:val="24"/>
        </w:rPr>
        <w:t>Analyticals</w:t>
      </w:r>
      <w:proofErr w:type="spellEnd"/>
      <w:r w:rsidRPr="007F7961">
        <w:rPr>
          <w:rFonts w:ascii="Times New Roman" w:eastAsia="Times New Roman" w:hAnsi="Times New Roman" w:cs="Times New Roman"/>
          <w:sz w:val="24"/>
          <w:szCs w:val="24"/>
        </w:rPr>
        <w:t xml:space="preserve"> RPE, purity 99%, batch 433585) was milled in a Fritsch </w:t>
      </w:r>
      <w:proofErr w:type="spellStart"/>
      <w:r w:rsidRPr="007F7961">
        <w:rPr>
          <w:rFonts w:ascii="Times New Roman" w:eastAsia="Times New Roman" w:hAnsi="Times New Roman" w:cs="Times New Roman"/>
          <w:sz w:val="24"/>
          <w:szCs w:val="24"/>
        </w:rPr>
        <w:t>Pulverisette</w:t>
      </w:r>
      <w:proofErr w:type="spellEnd"/>
      <w:r w:rsidRPr="007F7961">
        <w:rPr>
          <w:rFonts w:ascii="Times New Roman" w:eastAsia="Times New Roman" w:hAnsi="Times New Roman" w:cs="Times New Roman"/>
          <w:sz w:val="24"/>
          <w:szCs w:val="24"/>
        </w:rPr>
        <w:t xml:space="preserve"> 4 horizontal planetary ball mill, using two counter-rotating vials (45 mL nominal volume, 1/1 height/diameter ratio) and balls (12 mm diameter, weight 7.012 ± 0.001 g), both made of hardened chrome steel. Increasing severity of milling was achieved by increasing the rotation speed (Ω) of the main disk (Ω = 100 and 150 rpm) while keeping the main disk/planet speed ratio </w:t>
      </w:r>
    </w:p>
    <w:p w:rsidR="007F7961" w:rsidRPr="007F7961" w:rsidRDefault="007F7961" w:rsidP="007F7961">
      <w:pPr>
        <w:spacing w:before="100" w:beforeAutospacing="1" w:after="100" w:afterAutospacing="1" w:line="240" w:lineRule="auto"/>
        <w:outlineLvl w:val="1"/>
        <w:rPr>
          <w:rFonts w:ascii="Times New Roman" w:eastAsia="Times New Roman" w:hAnsi="Times New Roman" w:cs="Times New Roman"/>
          <w:b/>
          <w:bCs/>
          <w:sz w:val="36"/>
          <w:szCs w:val="36"/>
        </w:rPr>
      </w:pPr>
      <w:r w:rsidRPr="007F7961">
        <w:rPr>
          <w:rFonts w:ascii="Times New Roman" w:eastAsia="Times New Roman" w:hAnsi="Times New Roman" w:cs="Times New Roman"/>
          <w:b/>
          <w:bCs/>
          <w:sz w:val="36"/>
          <w:szCs w:val="36"/>
        </w:rPr>
        <w:t>Results and discussion</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WPPM was performed in non-Rietveld mode, that is, without constraining peak area to a structural model, and treating each peak intensity as a free-fitting parameter. The modeling mainly concerned domain size and lattice strain broadening, which were simultaneously considered.</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Two modeling runs were conducted, considering crystalline domains to be either spherical or cubic (cube edges along [</w:t>
      </w:r>
      <w:r w:rsidRPr="007F7961">
        <w:rPr>
          <w:rFonts w:ascii="Times New Roman" w:eastAsia="Times New Roman" w:hAnsi="Times New Roman" w:cs="Times New Roman"/>
          <w:i/>
          <w:iCs/>
          <w:sz w:val="24"/>
          <w:szCs w:val="24"/>
        </w:rPr>
        <w:t>h</w:t>
      </w:r>
      <w:r w:rsidRPr="007F7961">
        <w:rPr>
          <w:rFonts w:ascii="Times New Roman" w:eastAsia="Times New Roman" w:hAnsi="Times New Roman" w:cs="Times New Roman"/>
          <w:sz w:val="24"/>
          <w:szCs w:val="24"/>
        </w:rPr>
        <w:t>00]). In both cases, optimal results were obtained using a gamma size distribution of diameters/edges (</w:t>
      </w:r>
    </w:p>
    <w:p w:rsidR="007F7961" w:rsidRPr="007F7961" w:rsidRDefault="007F7961" w:rsidP="007F7961">
      <w:pPr>
        <w:spacing w:before="100" w:beforeAutospacing="1" w:after="100" w:afterAutospacing="1" w:line="240" w:lineRule="auto"/>
        <w:outlineLvl w:val="1"/>
        <w:rPr>
          <w:rFonts w:ascii="Times New Roman" w:eastAsia="Times New Roman" w:hAnsi="Times New Roman" w:cs="Times New Roman"/>
          <w:b/>
          <w:bCs/>
          <w:sz w:val="36"/>
          <w:szCs w:val="36"/>
        </w:rPr>
      </w:pPr>
      <w:r w:rsidRPr="007F7961">
        <w:rPr>
          <w:rFonts w:ascii="Times New Roman" w:eastAsia="Times New Roman" w:hAnsi="Times New Roman" w:cs="Times New Roman"/>
          <w:b/>
          <w:bCs/>
          <w:sz w:val="36"/>
          <w:szCs w:val="36"/>
        </w:rPr>
        <w:lastRenderedPageBreak/>
        <w:t>Conclusions</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 xml:space="preserve">The effect of lattice disorder and grain size was studied in fluorite crystals finely ground by ball milling. Based on BET, HRTEM, XRD, and solution chemistry data, the present study indicates that an increase in lattice defects by more than one order of magnitude has no effect on fluorite dissolution kinetics. However, the measured ionic product in stationary conditions increases as a consequence of a corresponding increase in dislocation density. Therefore, lattice defects seem to play a role </w:t>
      </w:r>
    </w:p>
    <w:p w:rsidR="007F7961" w:rsidRPr="007F7961" w:rsidRDefault="007F7961" w:rsidP="007F7961">
      <w:pPr>
        <w:spacing w:before="100" w:beforeAutospacing="1" w:after="100" w:afterAutospacing="1" w:line="240" w:lineRule="auto"/>
        <w:outlineLvl w:val="1"/>
        <w:rPr>
          <w:rFonts w:ascii="Times New Roman" w:eastAsia="Times New Roman" w:hAnsi="Times New Roman" w:cs="Times New Roman"/>
          <w:b/>
          <w:bCs/>
          <w:sz w:val="36"/>
          <w:szCs w:val="36"/>
        </w:rPr>
      </w:pPr>
      <w:r w:rsidRPr="007F7961">
        <w:rPr>
          <w:rFonts w:ascii="Times New Roman" w:eastAsia="Times New Roman" w:hAnsi="Times New Roman" w:cs="Times New Roman"/>
          <w:b/>
          <w:bCs/>
          <w:sz w:val="36"/>
          <w:szCs w:val="36"/>
        </w:rPr>
        <w:t>Acknowledgments</w:t>
      </w:r>
    </w:p>
    <w:p w:rsidR="007F7961" w:rsidRPr="007F7961" w:rsidRDefault="007F7961" w:rsidP="007F7961">
      <w:pPr>
        <w:spacing w:before="100" w:beforeAutospacing="1" w:after="100" w:afterAutospacing="1" w:line="240" w:lineRule="auto"/>
        <w:rPr>
          <w:rFonts w:ascii="Times New Roman" w:eastAsia="Times New Roman" w:hAnsi="Times New Roman" w:cs="Times New Roman"/>
          <w:sz w:val="24"/>
          <w:szCs w:val="24"/>
        </w:rPr>
      </w:pPr>
      <w:r w:rsidRPr="007F7961">
        <w:rPr>
          <w:rFonts w:ascii="Times New Roman" w:eastAsia="Times New Roman" w:hAnsi="Times New Roman" w:cs="Times New Roman"/>
          <w:sz w:val="24"/>
          <w:szCs w:val="24"/>
        </w:rPr>
        <w:t xml:space="preserve">This work was supported by the basic research funds of the Italian Ministry of University and Research, PRIN 2003–2004 project “Mechanisms of Surface Interactions in Mineral Phases: Kinetics </w:t>
      </w:r>
      <w:proofErr w:type="gramStart"/>
      <w:r w:rsidRPr="007F7961">
        <w:rPr>
          <w:rFonts w:ascii="Times New Roman" w:eastAsia="Times New Roman" w:hAnsi="Times New Roman" w:cs="Times New Roman"/>
          <w:sz w:val="24"/>
          <w:szCs w:val="24"/>
        </w:rPr>
        <w:t>Of</w:t>
      </w:r>
      <w:proofErr w:type="gramEnd"/>
      <w:r w:rsidRPr="007F7961">
        <w:rPr>
          <w:rFonts w:ascii="Times New Roman" w:eastAsia="Times New Roman" w:hAnsi="Times New Roman" w:cs="Times New Roman"/>
          <w:sz w:val="24"/>
          <w:szCs w:val="24"/>
        </w:rPr>
        <w:t xml:space="preserve"> Dissolution, of Crystal Growth and Their Modeling.” The authors are grateful to G. </w:t>
      </w:r>
      <w:proofErr w:type="spellStart"/>
      <w:r w:rsidRPr="007F7961">
        <w:rPr>
          <w:rFonts w:ascii="Times New Roman" w:eastAsia="Times New Roman" w:hAnsi="Times New Roman" w:cs="Times New Roman"/>
          <w:sz w:val="24"/>
          <w:szCs w:val="24"/>
        </w:rPr>
        <w:t>Artioli</w:t>
      </w:r>
      <w:proofErr w:type="spellEnd"/>
      <w:r w:rsidRPr="007F7961">
        <w:rPr>
          <w:rFonts w:ascii="Times New Roman" w:eastAsia="Times New Roman" w:hAnsi="Times New Roman" w:cs="Times New Roman"/>
          <w:sz w:val="24"/>
          <w:szCs w:val="24"/>
        </w:rPr>
        <w:t xml:space="preserve"> for the useful suggestions and comments on an early version of this manuscript. Editorial handling of W. Casey was very much appreciated, and constructive criticism of four reviewers was useful. G. D. G. and R. B.</w:t>
      </w:r>
    </w:p>
    <w:p w:rsidR="00422B82" w:rsidRDefault="00422B82"/>
    <w:sectPr w:rsidR="00422B82">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7961"/>
    <w:rsid w:val="00422B82"/>
    <w:rsid w:val="007F79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3F6045"/>
  <w15:chartTrackingRefBased/>
  <w15:docId w15:val="{014C7D27-1328-48D8-82F5-5837A6EE1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17654805">
      <w:bodyDiv w:val="1"/>
      <w:marLeft w:val="0"/>
      <w:marRight w:val="0"/>
      <w:marTop w:val="0"/>
      <w:marBottom w:val="0"/>
      <w:divBdr>
        <w:top w:val="none" w:sz="0" w:space="0" w:color="auto"/>
        <w:left w:val="none" w:sz="0" w:space="0" w:color="auto"/>
        <w:bottom w:val="none" w:sz="0" w:space="0" w:color="auto"/>
        <w:right w:val="none" w:sz="0" w:space="0" w:color="auto"/>
      </w:divBdr>
      <w:divsChild>
        <w:div w:id="540899957">
          <w:marLeft w:val="0"/>
          <w:marRight w:val="0"/>
          <w:marTop w:val="0"/>
          <w:marBottom w:val="0"/>
          <w:divBdr>
            <w:top w:val="none" w:sz="0" w:space="0" w:color="auto"/>
            <w:left w:val="none" w:sz="0" w:space="0" w:color="auto"/>
            <w:bottom w:val="none" w:sz="0" w:space="0" w:color="auto"/>
            <w:right w:val="none" w:sz="0" w:space="0" w:color="auto"/>
          </w:divBdr>
          <w:divsChild>
            <w:div w:id="1275793930">
              <w:marLeft w:val="0"/>
              <w:marRight w:val="0"/>
              <w:marTop w:val="0"/>
              <w:marBottom w:val="0"/>
              <w:divBdr>
                <w:top w:val="none" w:sz="0" w:space="0" w:color="auto"/>
                <w:left w:val="none" w:sz="0" w:space="0" w:color="auto"/>
                <w:bottom w:val="none" w:sz="0" w:space="0" w:color="auto"/>
                <w:right w:val="none" w:sz="0" w:space="0" w:color="auto"/>
              </w:divBdr>
              <w:divsChild>
                <w:div w:id="912853091">
                  <w:marLeft w:val="0"/>
                  <w:marRight w:val="0"/>
                  <w:marTop w:val="0"/>
                  <w:marBottom w:val="0"/>
                  <w:divBdr>
                    <w:top w:val="none" w:sz="0" w:space="0" w:color="auto"/>
                    <w:left w:val="none" w:sz="0" w:space="0" w:color="auto"/>
                    <w:bottom w:val="none" w:sz="0" w:space="0" w:color="auto"/>
                    <w:right w:val="none" w:sz="0" w:space="0" w:color="auto"/>
                  </w:divBdr>
                  <w:divsChild>
                    <w:div w:id="178392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084846">
          <w:marLeft w:val="0"/>
          <w:marRight w:val="0"/>
          <w:marTop w:val="0"/>
          <w:marBottom w:val="0"/>
          <w:divBdr>
            <w:top w:val="none" w:sz="0" w:space="0" w:color="auto"/>
            <w:left w:val="none" w:sz="0" w:space="0" w:color="auto"/>
            <w:bottom w:val="none" w:sz="0" w:space="0" w:color="auto"/>
            <w:right w:val="none" w:sz="0" w:space="0" w:color="auto"/>
          </w:divBdr>
          <w:divsChild>
            <w:div w:id="553807642">
              <w:marLeft w:val="0"/>
              <w:marRight w:val="0"/>
              <w:marTop w:val="0"/>
              <w:marBottom w:val="0"/>
              <w:divBdr>
                <w:top w:val="none" w:sz="0" w:space="0" w:color="auto"/>
                <w:left w:val="none" w:sz="0" w:space="0" w:color="auto"/>
                <w:bottom w:val="none" w:sz="0" w:space="0" w:color="auto"/>
                <w:right w:val="none" w:sz="0" w:space="0" w:color="auto"/>
              </w:divBdr>
              <w:divsChild>
                <w:div w:id="1267929357">
                  <w:marLeft w:val="0"/>
                  <w:marRight w:val="0"/>
                  <w:marTop w:val="0"/>
                  <w:marBottom w:val="0"/>
                  <w:divBdr>
                    <w:top w:val="none" w:sz="0" w:space="0" w:color="auto"/>
                    <w:left w:val="none" w:sz="0" w:space="0" w:color="auto"/>
                    <w:bottom w:val="none" w:sz="0" w:space="0" w:color="auto"/>
                    <w:right w:val="none" w:sz="0" w:space="0" w:color="auto"/>
                  </w:divBdr>
                  <w:divsChild>
                    <w:div w:id="43267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631000">
          <w:marLeft w:val="0"/>
          <w:marRight w:val="0"/>
          <w:marTop w:val="0"/>
          <w:marBottom w:val="0"/>
          <w:divBdr>
            <w:top w:val="none" w:sz="0" w:space="0" w:color="auto"/>
            <w:left w:val="none" w:sz="0" w:space="0" w:color="auto"/>
            <w:bottom w:val="none" w:sz="0" w:space="0" w:color="auto"/>
            <w:right w:val="none" w:sz="0" w:space="0" w:color="auto"/>
          </w:divBdr>
          <w:divsChild>
            <w:div w:id="1655525324">
              <w:marLeft w:val="0"/>
              <w:marRight w:val="0"/>
              <w:marTop w:val="0"/>
              <w:marBottom w:val="0"/>
              <w:divBdr>
                <w:top w:val="none" w:sz="0" w:space="0" w:color="auto"/>
                <w:left w:val="none" w:sz="0" w:space="0" w:color="auto"/>
                <w:bottom w:val="none" w:sz="0" w:space="0" w:color="auto"/>
                <w:right w:val="none" w:sz="0" w:space="0" w:color="auto"/>
              </w:divBdr>
            </w:div>
          </w:divsChild>
        </w:div>
        <w:div w:id="1218467482">
          <w:marLeft w:val="0"/>
          <w:marRight w:val="0"/>
          <w:marTop w:val="0"/>
          <w:marBottom w:val="0"/>
          <w:divBdr>
            <w:top w:val="none" w:sz="0" w:space="0" w:color="auto"/>
            <w:left w:val="none" w:sz="0" w:space="0" w:color="auto"/>
            <w:bottom w:val="none" w:sz="0" w:space="0" w:color="auto"/>
            <w:right w:val="none" w:sz="0" w:space="0" w:color="auto"/>
          </w:divBdr>
          <w:divsChild>
            <w:div w:id="63853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transmission-electron-microscopy" TargetMode="External"/><Relationship Id="rId5" Type="http://schemas.openxmlformats.org/officeDocument/2006/relationships/hyperlink" Target="https://www.sciencedirect.com/topics/earth-and-planetary-sciences/fluorite" TargetMode="External"/><Relationship Id="rId4" Type="http://schemas.openxmlformats.org/officeDocument/2006/relationships/hyperlink" Target="https://doi.org/10.1016/j.gca.2005.04.0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1134</Words>
  <Characters>6469</Characters>
  <Application>Microsoft Office Word</Application>
  <DocSecurity>0</DocSecurity>
  <Lines>53</Lines>
  <Paragraphs>15</Paragraphs>
  <ScaleCrop>false</ScaleCrop>
  <Company/>
  <LinksUpToDate>false</LinksUpToDate>
  <CharactersWithSpaces>7588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2023-11-18T04:16:00Z</dcterms:created>
  <dcterms:modified xsi:type="dcterms:W3CDTF">2023-11-18T04:17:00Z</dcterms:modified>
</cp:coreProperties>
</file>