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A786C" w:rsidRPr="001A786C" w:rsidRDefault="001A786C" w:rsidP="001A786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A786C">
        <w:rPr>
          <w:rFonts w:ascii="Times New Roman" w:eastAsia="Times New Roman" w:hAnsi="Times New Roman" w:cs="Times New Roman"/>
          <w:b/>
          <w:bCs/>
          <w:kern w:val="36"/>
          <w:sz w:val="48"/>
          <w:szCs w:val="48"/>
        </w:rPr>
        <w:t>Boron isotope geochemistry of Paleozoic brachiopod calcite: Implications for a secular change in the boron isotope geochemistry of seawater over the Phanerozoic</w:t>
      </w:r>
    </w:p>
    <w:p w:rsidR="001A786C" w:rsidRPr="001A786C" w:rsidRDefault="001A786C" w:rsidP="001A786C">
      <w:pPr>
        <w:spacing w:after="0"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Author links open overlay panel</w:t>
      </w:r>
    </w:p>
    <w:p w:rsidR="001A786C" w:rsidRPr="001A786C" w:rsidRDefault="001A786C" w:rsidP="001A786C">
      <w:pPr>
        <w:spacing w:after="0"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 xml:space="preserve">, , , </w:t>
      </w:r>
    </w:p>
    <w:p w:rsidR="001A786C" w:rsidRPr="001A786C" w:rsidRDefault="001A786C" w:rsidP="001A786C">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A786C">
          <w:rPr>
            <w:rFonts w:ascii="Times New Roman" w:eastAsia="Times New Roman" w:hAnsi="Times New Roman" w:cs="Times New Roman"/>
            <w:color w:val="0000FF"/>
            <w:sz w:val="24"/>
            <w:szCs w:val="24"/>
            <w:u w:val="single"/>
          </w:rPr>
          <w:t>https://doi.org/10.1016/j.gca.2004.11.017</w:t>
        </w:r>
      </w:hyperlink>
      <w:bookmarkStart w:id="0" w:name="_GoBack"/>
      <w:bookmarkEnd w:id="0"/>
      <w:r w:rsidRPr="001A786C">
        <w:rPr>
          <w:rFonts w:ascii="Times New Roman" w:eastAsia="Times New Roman" w:hAnsi="Times New Roman" w:cs="Times New Roman"/>
          <w:sz w:val="24"/>
          <w:szCs w:val="24"/>
        </w:rPr>
        <w:t xml:space="preserve"> </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Abstract</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 xml:space="preserve">Boron isotope composition of marine carbonates has been proposed as a paleo-pH proxy and potential tool to reconstruct atmospheric </w:t>
      </w:r>
      <w:r w:rsidRPr="001A786C">
        <w:rPr>
          <w:rFonts w:ascii="Times New Roman" w:eastAsia="Times New Roman" w:hAnsi="Times New Roman" w:cs="Times New Roman"/>
          <w:i/>
          <w:iCs/>
          <w:sz w:val="24"/>
          <w:szCs w:val="24"/>
        </w:rPr>
        <w:t>p</w:t>
      </w:r>
      <w:r w:rsidRPr="001A786C">
        <w:rPr>
          <w:rFonts w:ascii="Times New Roman" w:eastAsia="Times New Roman" w:hAnsi="Times New Roman" w:cs="Times New Roman"/>
          <w:sz w:val="24"/>
          <w:szCs w:val="24"/>
        </w:rPr>
        <w:t>CO</w:t>
      </w:r>
      <w:r w:rsidRPr="001A786C">
        <w:rPr>
          <w:rFonts w:ascii="Times New Roman" w:eastAsia="Times New Roman" w:hAnsi="Times New Roman" w:cs="Times New Roman"/>
          <w:sz w:val="24"/>
          <w:szCs w:val="24"/>
          <w:vertAlign w:val="subscript"/>
        </w:rPr>
        <w:t>2</w:t>
      </w:r>
      <w:r w:rsidRPr="001A786C">
        <w:rPr>
          <w:rFonts w:ascii="Times New Roman" w:eastAsia="Times New Roman" w:hAnsi="Times New Roman" w:cs="Times New Roman"/>
          <w:sz w:val="24"/>
          <w:szCs w:val="24"/>
        </w:rPr>
        <w:t xml:space="preserve">. The precise knowledge of the boron </w:t>
      </w:r>
      <w:hyperlink r:id="rId5" w:tooltip="Learn more about isotopic composition from ScienceDirect's AI-generated Topic Pages" w:history="1">
        <w:r w:rsidRPr="001A786C">
          <w:rPr>
            <w:rFonts w:ascii="Times New Roman" w:eastAsia="Times New Roman" w:hAnsi="Times New Roman" w:cs="Times New Roman"/>
            <w:color w:val="0000FF"/>
            <w:sz w:val="24"/>
            <w:szCs w:val="24"/>
            <w:u w:val="single"/>
          </w:rPr>
          <w:t>isotopic composition</w:t>
        </w:r>
      </w:hyperlink>
      <w:r w:rsidRPr="001A786C">
        <w:rPr>
          <w:rFonts w:ascii="Times New Roman" w:eastAsia="Times New Roman" w:hAnsi="Times New Roman" w:cs="Times New Roman"/>
          <w:sz w:val="24"/>
          <w:szCs w:val="24"/>
        </w:rPr>
        <w:t xml:space="preserve"> of ancient seawater represents the fundamental prerequisite for any paleo-pH reconstruction. This contribution presents boron isotope values for </w:t>
      </w:r>
      <w:hyperlink r:id="rId6" w:tooltip="Learn more about Silurian from ScienceDirect's AI-generated Topic Pages" w:history="1">
        <w:r w:rsidRPr="001A786C">
          <w:rPr>
            <w:rFonts w:ascii="Times New Roman" w:eastAsia="Times New Roman" w:hAnsi="Times New Roman" w:cs="Times New Roman"/>
            <w:color w:val="0000FF"/>
            <w:sz w:val="24"/>
            <w:szCs w:val="24"/>
            <w:u w:val="single"/>
          </w:rPr>
          <w:t>Silurian</w:t>
        </w:r>
      </w:hyperlink>
      <w:r w:rsidRPr="001A786C">
        <w:rPr>
          <w:rFonts w:ascii="Times New Roman" w:eastAsia="Times New Roman" w:hAnsi="Times New Roman" w:cs="Times New Roman"/>
          <w:sz w:val="24"/>
          <w:szCs w:val="24"/>
        </w:rPr>
        <w:t xml:space="preserve"> to </w:t>
      </w:r>
      <w:hyperlink r:id="rId7" w:tooltip="Learn more about Permian from ScienceDirect's AI-generated Topic Pages" w:history="1">
        <w:r w:rsidRPr="001A786C">
          <w:rPr>
            <w:rFonts w:ascii="Times New Roman" w:eastAsia="Times New Roman" w:hAnsi="Times New Roman" w:cs="Times New Roman"/>
            <w:color w:val="0000FF"/>
            <w:sz w:val="24"/>
            <w:szCs w:val="24"/>
            <w:u w:val="single"/>
          </w:rPr>
          <w:t>Permian</w:t>
        </w:r>
      </w:hyperlink>
      <w:r w:rsidRPr="001A786C">
        <w:rPr>
          <w:rFonts w:ascii="Times New Roman" w:eastAsia="Times New Roman" w:hAnsi="Times New Roman" w:cs="Times New Roman"/>
          <w:sz w:val="24"/>
          <w:szCs w:val="24"/>
        </w:rPr>
        <w:t xml:space="preserve"> brachiopod </w:t>
      </w:r>
      <w:hyperlink r:id="rId8" w:tooltip="Learn more about calcite from ScienceDirect's AI-generated Topic Pages" w:history="1">
        <w:r w:rsidRPr="001A786C">
          <w:rPr>
            <w:rFonts w:ascii="Times New Roman" w:eastAsia="Times New Roman" w:hAnsi="Times New Roman" w:cs="Times New Roman"/>
            <w:color w:val="0000FF"/>
            <w:sz w:val="24"/>
            <w:szCs w:val="24"/>
            <w:u w:val="single"/>
          </w:rPr>
          <w:t>calcite</w:t>
        </w:r>
      </w:hyperlink>
      <w:r w:rsidRPr="001A786C">
        <w:rPr>
          <w:rFonts w:ascii="Times New Roman" w:eastAsia="Times New Roman" w:hAnsi="Times New Roman" w:cs="Times New Roman"/>
          <w:sz w:val="24"/>
          <w:szCs w:val="24"/>
        </w:rPr>
        <w:t xml:space="preserve"> that might be used to reconstruct pH or boron isotope composition of past oceans. All brachiopod shells were screened for diagenetic recrystallization by means of </w:t>
      </w:r>
      <w:hyperlink r:id="rId9" w:tooltip="Learn more about cathodoluminescence from ScienceDirect's AI-generated Topic Pages" w:history="1">
        <w:r w:rsidRPr="001A786C">
          <w:rPr>
            <w:rFonts w:ascii="Times New Roman" w:eastAsia="Times New Roman" w:hAnsi="Times New Roman" w:cs="Times New Roman"/>
            <w:color w:val="0000FF"/>
            <w:sz w:val="24"/>
            <w:szCs w:val="24"/>
            <w:u w:val="single"/>
          </w:rPr>
          <w:t>cathodoluminescence</w:t>
        </w:r>
      </w:hyperlink>
      <w:r w:rsidRPr="001A786C">
        <w:rPr>
          <w:rFonts w:ascii="Times New Roman" w:eastAsia="Times New Roman" w:hAnsi="Times New Roman" w:cs="Times New Roman"/>
          <w:sz w:val="24"/>
          <w:szCs w:val="24"/>
        </w:rPr>
        <w:t xml:space="preserve"> microscopy, </w:t>
      </w:r>
      <w:hyperlink r:id="rId10" w:tooltip="Learn more about trace element geochemistry from ScienceDirect's AI-generated Topic Pages" w:history="1">
        <w:r w:rsidRPr="001A786C">
          <w:rPr>
            <w:rFonts w:ascii="Times New Roman" w:eastAsia="Times New Roman" w:hAnsi="Times New Roman" w:cs="Times New Roman"/>
            <w:color w:val="0000FF"/>
            <w:sz w:val="24"/>
            <w:szCs w:val="24"/>
            <w:u w:val="single"/>
          </w:rPr>
          <w:t>trace element geochemistry</w:t>
        </w:r>
      </w:hyperlink>
      <w:r w:rsidRPr="001A786C">
        <w:rPr>
          <w:rFonts w:ascii="Times New Roman" w:eastAsia="Times New Roman" w:hAnsi="Times New Roman" w:cs="Times New Roman"/>
          <w:sz w:val="24"/>
          <w:szCs w:val="24"/>
        </w:rPr>
        <w:t xml:space="preserve"> (B, Fe, Mn, Sr) as well as SEM. Only </w:t>
      </w:r>
      <w:proofErr w:type="spellStart"/>
      <w:r w:rsidRPr="001A786C">
        <w:rPr>
          <w:rFonts w:ascii="Times New Roman" w:eastAsia="Times New Roman" w:hAnsi="Times New Roman" w:cs="Times New Roman"/>
          <w:sz w:val="24"/>
          <w:szCs w:val="24"/>
        </w:rPr>
        <w:t>nonluminescent</w:t>
      </w:r>
      <w:proofErr w:type="spellEnd"/>
      <w:r w:rsidRPr="001A786C">
        <w:rPr>
          <w:rFonts w:ascii="Times New Roman" w:eastAsia="Times New Roman" w:hAnsi="Times New Roman" w:cs="Times New Roman"/>
          <w:sz w:val="24"/>
          <w:szCs w:val="24"/>
        </w:rPr>
        <w:t xml:space="preserve"> shells revealing well-preserved microstructures, high strontium and boron concentrations as well as low iron and manganese contents were accepted for boron isotope analysis. The boron isotope ratios of Silurian, </w:t>
      </w:r>
      <w:hyperlink r:id="rId11" w:tooltip="Learn more about Devonian from ScienceDirect's AI-generated Topic Pages" w:history="1">
        <w:r w:rsidRPr="001A786C">
          <w:rPr>
            <w:rFonts w:ascii="Times New Roman" w:eastAsia="Times New Roman" w:hAnsi="Times New Roman" w:cs="Times New Roman"/>
            <w:color w:val="0000FF"/>
            <w:sz w:val="24"/>
            <w:szCs w:val="24"/>
            <w:u w:val="single"/>
          </w:rPr>
          <w:t>Devonian</w:t>
        </w:r>
      </w:hyperlink>
      <w:r w:rsidRPr="001A786C">
        <w:rPr>
          <w:rFonts w:ascii="Times New Roman" w:eastAsia="Times New Roman" w:hAnsi="Times New Roman" w:cs="Times New Roman"/>
          <w:sz w:val="24"/>
          <w:szCs w:val="24"/>
        </w:rPr>
        <w:t>, Pennsylvanian and Permian brachiopod calcite range from 6.8 to 11.0‰, 7.3 to 14.9‰, 12.4 to 15.8‰ and 10.1 to 11.7‰, respectively. These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values are significantly lower in comparison to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values of modern biogenic carbonates and indicate that the Paleozoic oceans were depleted in </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by up to 10‰. Box modeling of the boron </w:t>
      </w:r>
      <w:hyperlink r:id="rId12" w:tooltip="Learn more about geochemical cycle from ScienceDirect's AI-generated Topic Pages" w:history="1">
        <w:r w:rsidRPr="001A786C">
          <w:rPr>
            <w:rFonts w:ascii="Times New Roman" w:eastAsia="Times New Roman" w:hAnsi="Times New Roman" w:cs="Times New Roman"/>
            <w:color w:val="0000FF"/>
            <w:sz w:val="24"/>
            <w:szCs w:val="24"/>
            <w:u w:val="single"/>
          </w:rPr>
          <w:t>geochemical cycle</w:t>
        </w:r>
      </w:hyperlink>
      <w:r w:rsidRPr="001A786C">
        <w:rPr>
          <w:rFonts w:ascii="Times New Roman" w:eastAsia="Times New Roman" w:hAnsi="Times New Roman" w:cs="Times New Roman"/>
          <w:sz w:val="24"/>
          <w:szCs w:val="24"/>
        </w:rPr>
        <w:t xml:space="preserve"> suggests that the significant depletion of </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in the oceanic reservoir may have been initiated by an enhanced continental boron discharge. Our data support the earlier made conclusion that boron isotopes may not be used in the geological past as reliable paleo-pH proxy unless the boron isotopic composition of ancient oceans can be constrained by further studies.</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Introduction</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 xml:space="preserve">The boron isotope composition of carbonates is of major interest as a potential proxy to reconstruct past oceanic pH and has been used to estimate atmospheric </w:t>
      </w:r>
      <w:r w:rsidRPr="001A786C">
        <w:rPr>
          <w:rFonts w:ascii="Times New Roman" w:eastAsia="Times New Roman" w:hAnsi="Times New Roman" w:cs="Times New Roman"/>
          <w:i/>
          <w:iCs/>
          <w:sz w:val="24"/>
          <w:szCs w:val="24"/>
        </w:rPr>
        <w:t>p</w:t>
      </w:r>
      <w:r w:rsidRPr="001A786C">
        <w:rPr>
          <w:rFonts w:ascii="Times New Roman" w:eastAsia="Times New Roman" w:hAnsi="Times New Roman" w:cs="Times New Roman"/>
          <w:sz w:val="24"/>
          <w:szCs w:val="24"/>
        </w:rPr>
        <w:t>CO</w:t>
      </w:r>
      <w:r w:rsidRPr="001A786C">
        <w:rPr>
          <w:rFonts w:ascii="Times New Roman" w:eastAsia="Times New Roman" w:hAnsi="Times New Roman" w:cs="Times New Roman"/>
          <w:sz w:val="24"/>
          <w:szCs w:val="24"/>
          <w:vertAlign w:val="subscript"/>
        </w:rPr>
        <w:t>2</w:t>
      </w:r>
      <w:r w:rsidRPr="001A786C">
        <w:rPr>
          <w:rFonts w:ascii="Times New Roman" w:eastAsia="Times New Roman" w:hAnsi="Times New Roman" w:cs="Times New Roman"/>
          <w:sz w:val="24"/>
          <w:szCs w:val="24"/>
        </w:rPr>
        <w:t xml:space="preserve">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and Edmond, 1987; Hemming and Hanson, 1992; Pearson and Palmer, 2000). Boron dissolved in seawater occurs as B(OH)</w:t>
      </w:r>
      <w:r w:rsidRPr="001A786C">
        <w:rPr>
          <w:rFonts w:ascii="Times New Roman" w:eastAsia="Times New Roman" w:hAnsi="Times New Roman" w:cs="Times New Roman"/>
          <w:sz w:val="24"/>
          <w:szCs w:val="24"/>
          <w:vertAlign w:val="subscript"/>
        </w:rPr>
        <w:t>4</w:t>
      </w:r>
      <w:r w:rsidRPr="001A786C">
        <w:rPr>
          <w:rFonts w:ascii="Times New Roman" w:eastAsia="Times New Roman" w:hAnsi="Times New Roman" w:cs="Times New Roman"/>
          <w:sz w:val="24"/>
          <w:szCs w:val="24"/>
          <w:vertAlign w:val="superscript"/>
        </w:rPr>
        <w:t>−</w:t>
      </w:r>
      <w:r w:rsidRPr="001A786C">
        <w:rPr>
          <w:rFonts w:ascii="Times New Roman" w:eastAsia="Times New Roman" w:hAnsi="Times New Roman" w:cs="Times New Roman"/>
          <w:sz w:val="24"/>
          <w:szCs w:val="24"/>
        </w:rPr>
        <w:t xml:space="preserve"> and B(OH)</w:t>
      </w:r>
      <w:r w:rsidRPr="001A786C">
        <w:rPr>
          <w:rFonts w:ascii="Times New Roman" w:eastAsia="Times New Roman" w:hAnsi="Times New Roman" w:cs="Times New Roman"/>
          <w:sz w:val="24"/>
          <w:szCs w:val="24"/>
          <w:vertAlign w:val="subscript"/>
        </w:rPr>
        <w:t>3</w:t>
      </w:r>
      <w:r w:rsidRPr="001A786C">
        <w:rPr>
          <w:rFonts w:ascii="Times New Roman" w:eastAsia="Times New Roman" w:hAnsi="Times New Roman" w:cs="Times New Roman"/>
          <w:sz w:val="24"/>
          <w:szCs w:val="24"/>
        </w:rPr>
        <w:t xml:space="preserve"> and the relative proportion of these species is determined by the pH of ambient seawater. The boron isotopic composition of the two species reveals a significant fractionation with B(OH)</w:t>
      </w:r>
      <w:r w:rsidRPr="001A786C">
        <w:rPr>
          <w:rFonts w:ascii="Times New Roman" w:eastAsia="Times New Roman" w:hAnsi="Times New Roman" w:cs="Times New Roman"/>
          <w:sz w:val="24"/>
          <w:szCs w:val="24"/>
          <w:vertAlign w:val="subscript"/>
        </w:rPr>
        <w:t>4</w:t>
      </w:r>
      <w:r w:rsidRPr="001A786C">
        <w:rPr>
          <w:rFonts w:ascii="Times New Roman" w:eastAsia="Times New Roman" w:hAnsi="Times New Roman" w:cs="Times New Roman"/>
          <w:sz w:val="24"/>
          <w:szCs w:val="24"/>
          <w:vertAlign w:val="superscript"/>
        </w:rPr>
        <w:t>−</w:t>
      </w:r>
      <w:r w:rsidRPr="001A786C">
        <w:rPr>
          <w:rFonts w:ascii="Times New Roman" w:eastAsia="Times New Roman" w:hAnsi="Times New Roman" w:cs="Times New Roman"/>
          <w:sz w:val="24"/>
          <w:szCs w:val="24"/>
        </w:rPr>
        <w:t xml:space="preserve"> being depleted in </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by </w:t>
      </w:r>
      <w:r w:rsidRPr="001A786C">
        <w:rPr>
          <w:rFonts w:ascii="Cambria Math" w:eastAsia="Times New Roman" w:hAnsi="Cambria Math" w:cs="Cambria Math"/>
          <w:sz w:val="24"/>
          <w:szCs w:val="24"/>
        </w:rPr>
        <w:t>∼</w:t>
      </w:r>
      <w:r w:rsidRPr="001A786C">
        <w:rPr>
          <w:rFonts w:ascii="Times New Roman" w:eastAsia="Times New Roman" w:hAnsi="Times New Roman" w:cs="Times New Roman"/>
          <w:sz w:val="24"/>
          <w:szCs w:val="24"/>
        </w:rPr>
        <w:t>20‰ with respect to B(OH)</w:t>
      </w:r>
      <w:r w:rsidRPr="001A786C">
        <w:rPr>
          <w:rFonts w:ascii="Times New Roman" w:eastAsia="Times New Roman" w:hAnsi="Times New Roman" w:cs="Times New Roman"/>
          <w:sz w:val="24"/>
          <w:szCs w:val="24"/>
          <w:vertAlign w:val="subscript"/>
        </w:rPr>
        <w:t>3</w:t>
      </w:r>
      <w:r w:rsidRPr="001A786C">
        <w:rPr>
          <w:rFonts w:ascii="Times New Roman" w:eastAsia="Times New Roman" w:hAnsi="Times New Roman" w:cs="Times New Roman"/>
          <w:sz w:val="24"/>
          <w:szCs w:val="24"/>
        </w:rPr>
        <w:t xml:space="preserve"> (</w:t>
      </w:r>
      <w:proofErr w:type="spellStart"/>
      <w:r w:rsidRPr="001A786C">
        <w:rPr>
          <w:rFonts w:ascii="Times New Roman" w:eastAsia="Times New Roman" w:hAnsi="Times New Roman" w:cs="Times New Roman"/>
          <w:sz w:val="24"/>
          <w:szCs w:val="24"/>
        </w:rPr>
        <w:t>Kakihana</w:t>
      </w:r>
      <w:proofErr w:type="spellEnd"/>
      <w:r w:rsidRPr="001A786C">
        <w:rPr>
          <w:rFonts w:ascii="Times New Roman" w:eastAsia="Times New Roman" w:hAnsi="Times New Roman" w:cs="Times New Roman"/>
          <w:sz w:val="24"/>
          <w:szCs w:val="24"/>
        </w:rPr>
        <w:t xml:space="preserve"> et al., 1977). If pH changes, the relative proportion of the two species and the isotopic composition of B(OH)</w:t>
      </w:r>
      <w:r w:rsidRPr="001A786C">
        <w:rPr>
          <w:rFonts w:ascii="Times New Roman" w:eastAsia="Times New Roman" w:hAnsi="Times New Roman" w:cs="Times New Roman"/>
          <w:sz w:val="24"/>
          <w:szCs w:val="24"/>
          <w:vertAlign w:val="subscript"/>
        </w:rPr>
        <w:t>4</w:t>
      </w:r>
      <w:r w:rsidRPr="001A786C">
        <w:rPr>
          <w:rFonts w:ascii="Times New Roman" w:eastAsia="Times New Roman" w:hAnsi="Times New Roman" w:cs="Times New Roman"/>
          <w:sz w:val="24"/>
          <w:szCs w:val="24"/>
          <w:vertAlign w:val="superscript"/>
        </w:rPr>
        <w:t>−</w:t>
      </w:r>
      <w:r w:rsidRPr="001A786C">
        <w:rPr>
          <w:rFonts w:ascii="Times New Roman" w:eastAsia="Times New Roman" w:hAnsi="Times New Roman" w:cs="Times New Roman"/>
          <w:sz w:val="24"/>
          <w:szCs w:val="24"/>
        </w:rPr>
        <w:t xml:space="preserve"> and B(OH)</w:t>
      </w:r>
      <w:r w:rsidRPr="001A786C">
        <w:rPr>
          <w:rFonts w:ascii="Times New Roman" w:eastAsia="Times New Roman" w:hAnsi="Times New Roman" w:cs="Times New Roman"/>
          <w:sz w:val="24"/>
          <w:szCs w:val="24"/>
          <w:vertAlign w:val="subscript"/>
        </w:rPr>
        <w:t>3</w:t>
      </w:r>
      <w:r w:rsidRPr="001A786C">
        <w:rPr>
          <w:rFonts w:ascii="Times New Roman" w:eastAsia="Times New Roman" w:hAnsi="Times New Roman" w:cs="Times New Roman"/>
          <w:sz w:val="24"/>
          <w:szCs w:val="24"/>
        </w:rPr>
        <w:t xml:space="preserve"> will change as well. Since it was generally assumed that the charged species B(OH)</w:t>
      </w:r>
      <w:r w:rsidRPr="001A786C">
        <w:rPr>
          <w:rFonts w:ascii="Times New Roman" w:eastAsia="Times New Roman" w:hAnsi="Times New Roman" w:cs="Times New Roman"/>
          <w:sz w:val="24"/>
          <w:szCs w:val="24"/>
          <w:vertAlign w:val="subscript"/>
        </w:rPr>
        <w:t>4</w:t>
      </w:r>
      <w:r w:rsidRPr="001A786C">
        <w:rPr>
          <w:rFonts w:ascii="Times New Roman" w:eastAsia="Times New Roman" w:hAnsi="Times New Roman" w:cs="Times New Roman"/>
          <w:sz w:val="24"/>
          <w:szCs w:val="24"/>
          <w:vertAlign w:val="superscript"/>
        </w:rPr>
        <w:t>−</w:t>
      </w:r>
      <w:r w:rsidRPr="001A786C">
        <w:rPr>
          <w:rFonts w:ascii="Times New Roman" w:eastAsia="Times New Roman" w:hAnsi="Times New Roman" w:cs="Times New Roman"/>
          <w:sz w:val="24"/>
          <w:szCs w:val="24"/>
        </w:rPr>
        <w:t xml:space="preserve"> is incorporated into carbonate minerals without any significant biogenic fractionation (Hemming and Hanson, 1992; </w:t>
      </w:r>
      <w:proofErr w:type="spellStart"/>
      <w:r w:rsidRPr="001A786C">
        <w:rPr>
          <w:rFonts w:ascii="Times New Roman" w:eastAsia="Times New Roman" w:hAnsi="Times New Roman" w:cs="Times New Roman"/>
          <w:sz w:val="24"/>
          <w:szCs w:val="24"/>
        </w:rPr>
        <w:t>Sanyal</w:t>
      </w:r>
      <w:proofErr w:type="spellEnd"/>
      <w:r w:rsidRPr="001A786C">
        <w:rPr>
          <w:rFonts w:ascii="Times New Roman" w:eastAsia="Times New Roman" w:hAnsi="Times New Roman" w:cs="Times New Roman"/>
          <w:sz w:val="24"/>
          <w:szCs w:val="24"/>
        </w:rPr>
        <w:t xml:space="preserve"> et al., 2000),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of biogenic carbonate was used as a paleo-pH proxy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et al., 1993; </w:t>
      </w:r>
      <w:proofErr w:type="spellStart"/>
      <w:r w:rsidRPr="001A786C">
        <w:rPr>
          <w:rFonts w:ascii="Times New Roman" w:eastAsia="Times New Roman" w:hAnsi="Times New Roman" w:cs="Times New Roman"/>
          <w:sz w:val="24"/>
          <w:szCs w:val="24"/>
        </w:rPr>
        <w:t>Sanyal</w:t>
      </w:r>
      <w:proofErr w:type="spellEnd"/>
      <w:r w:rsidRPr="001A786C">
        <w:rPr>
          <w:rFonts w:ascii="Times New Roman" w:eastAsia="Times New Roman" w:hAnsi="Times New Roman" w:cs="Times New Roman"/>
          <w:sz w:val="24"/>
          <w:szCs w:val="24"/>
        </w:rPr>
        <w:t xml:space="preserve"> et al 1995, </w:t>
      </w:r>
      <w:proofErr w:type="spellStart"/>
      <w:r w:rsidRPr="001A786C">
        <w:rPr>
          <w:rFonts w:ascii="Times New Roman" w:eastAsia="Times New Roman" w:hAnsi="Times New Roman" w:cs="Times New Roman"/>
          <w:sz w:val="24"/>
          <w:szCs w:val="24"/>
        </w:rPr>
        <w:t>Sanyal</w:t>
      </w:r>
      <w:proofErr w:type="spellEnd"/>
      <w:r w:rsidRPr="001A786C">
        <w:rPr>
          <w:rFonts w:ascii="Times New Roman" w:eastAsia="Times New Roman" w:hAnsi="Times New Roman" w:cs="Times New Roman"/>
          <w:sz w:val="24"/>
          <w:szCs w:val="24"/>
        </w:rPr>
        <w:t xml:space="preserve"> et al 1997; Palmer et al., 1998; Pearson and Palmer, 1999). Pearson and Palmer (2000) used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values of planktonic foraminifera to calculate pH and to reconstruct atmospheric carbon dioxide contents for the past 60 </w:t>
      </w:r>
      <w:proofErr w:type="spellStart"/>
      <w:r w:rsidRPr="001A786C">
        <w:rPr>
          <w:rFonts w:ascii="Times New Roman" w:eastAsia="Times New Roman" w:hAnsi="Times New Roman" w:cs="Times New Roman"/>
          <w:sz w:val="24"/>
          <w:szCs w:val="24"/>
        </w:rPr>
        <w:t>myr</w:t>
      </w:r>
      <w:proofErr w:type="spellEnd"/>
      <w:r w:rsidRPr="001A786C">
        <w:rPr>
          <w:rFonts w:ascii="Times New Roman" w:eastAsia="Times New Roman" w:hAnsi="Times New Roman" w:cs="Times New Roman"/>
          <w:sz w:val="24"/>
          <w:szCs w:val="24"/>
        </w:rPr>
        <w:t xml:space="preserve">. The reconstruction of this </w:t>
      </w:r>
      <w:r w:rsidRPr="001A786C">
        <w:rPr>
          <w:rFonts w:ascii="Times New Roman" w:eastAsia="Times New Roman" w:hAnsi="Times New Roman" w:cs="Times New Roman"/>
          <w:sz w:val="24"/>
          <w:szCs w:val="24"/>
        </w:rPr>
        <w:lastRenderedPageBreak/>
        <w:t>long-term pH or atmospheric CO</w:t>
      </w:r>
      <w:r w:rsidRPr="001A786C">
        <w:rPr>
          <w:rFonts w:ascii="Times New Roman" w:eastAsia="Times New Roman" w:hAnsi="Times New Roman" w:cs="Times New Roman"/>
          <w:sz w:val="24"/>
          <w:szCs w:val="24"/>
          <w:vertAlign w:val="subscript"/>
        </w:rPr>
        <w:t>2</w:t>
      </w:r>
      <w:r w:rsidRPr="001A786C">
        <w:rPr>
          <w:rFonts w:ascii="Times New Roman" w:eastAsia="Times New Roman" w:hAnsi="Times New Roman" w:cs="Times New Roman"/>
          <w:sz w:val="24"/>
          <w:szCs w:val="24"/>
        </w:rPr>
        <w:t xml:space="preserve"> record requires the knowledge of the boron isotope composition of seawater. Pearson and Palmer (2000) assumed that the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of seawater had a modern value of +39.5‰ and that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of seawater did not change during the Cenozoic. This assumption was based on the relatively long residence time of dissolved boron in the ocean (20 </w:t>
      </w:r>
      <w:proofErr w:type="spellStart"/>
      <w:r w:rsidRPr="001A786C">
        <w:rPr>
          <w:rFonts w:ascii="Times New Roman" w:eastAsia="Times New Roman" w:hAnsi="Times New Roman" w:cs="Times New Roman"/>
          <w:sz w:val="24"/>
          <w:szCs w:val="24"/>
        </w:rPr>
        <w:t>Myr</w:t>
      </w:r>
      <w:proofErr w:type="spellEnd"/>
      <w:r w:rsidRPr="001A786C">
        <w:rPr>
          <w:rFonts w:ascii="Times New Roman" w:eastAsia="Times New Roman" w:hAnsi="Times New Roman" w:cs="Times New Roman"/>
          <w:sz w:val="24"/>
          <w:szCs w:val="24"/>
        </w:rPr>
        <w:t xml:space="preserve">;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and Edmond, 1987) that according to Pearson and Palmer (2000) makes fluctuations in the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of seawater unlikely.</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The oceanic boron concentration as well as its isotopic composition are controlled by the input and output of boron. The main sources of boron to the oceans are continental weathering (</w:t>
      </w:r>
      <w:proofErr w:type="spellStart"/>
      <w:r w:rsidRPr="001A786C">
        <w:rPr>
          <w:rFonts w:ascii="Times New Roman" w:eastAsia="Times New Roman" w:hAnsi="Times New Roman" w:cs="Times New Roman"/>
          <w:sz w:val="24"/>
          <w:szCs w:val="24"/>
        </w:rPr>
        <w:t>Lemarchand</w:t>
      </w:r>
      <w:proofErr w:type="spellEnd"/>
      <w:r w:rsidRPr="001A786C">
        <w:rPr>
          <w:rFonts w:ascii="Times New Roman" w:eastAsia="Times New Roman" w:hAnsi="Times New Roman" w:cs="Times New Roman"/>
          <w:sz w:val="24"/>
          <w:szCs w:val="24"/>
        </w:rPr>
        <w:t xml:space="preserve"> et al 2000, </w:t>
      </w:r>
      <w:proofErr w:type="spellStart"/>
      <w:r w:rsidRPr="001A786C">
        <w:rPr>
          <w:rFonts w:ascii="Times New Roman" w:eastAsia="Times New Roman" w:hAnsi="Times New Roman" w:cs="Times New Roman"/>
          <w:sz w:val="24"/>
          <w:szCs w:val="24"/>
        </w:rPr>
        <w:t>Lemarchand</w:t>
      </w:r>
      <w:proofErr w:type="spellEnd"/>
      <w:r w:rsidRPr="001A786C">
        <w:rPr>
          <w:rFonts w:ascii="Times New Roman" w:eastAsia="Times New Roman" w:hAnsi="Times New Roman" w:cs="Times New Roman"/>
          <w:sz w:val="24"/>
          <w:szCs w:val="24"/>
        </w:rPr>
        <w:t xml:space="preserve"> et al 2002; Rose et al., 2000), hydrothermal venting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and Edmond, 1987) as well as fluids expelled at convergent margins (You et al., 1995; Kopf and </w:t>
      </w:r>
      <w:proofErr w:type="spellStart"/>
      <w:r w:rsidRPr="001A786C">
        <w:rPr>
          <w:rFonts w:ascii="Times New Roman" w:eastAsia="Times New Roman" w:hAnsi="Times New Roman" w:cs="Times New Roman"/>
          <w:sz w:val="24"/>
          <w:szCs w:val="24"/>
        </w:rPr>
        <w:t>Deyhle</w:t>
      </w:r>
      <w:proofErr w:type="spellEnd"/>
      <w:r w:rsidRPr="001A786C">
        <w:rPr>
          <w:rFonts w:ascii="Times New Roman" w:eastAsia="Times New Roman" w:hAnsi="Times New Roman" w:cs="Times New Roman"/>
          <w:sz w:val="24"/>
          <w:szCs w:val="24"/>
        </w:rPr>
        <w:t>, 2002). The main sinks of boron comprise uptake of boron during low-temperature weathering of oceanic crust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and Edmond, 1987), absorption on clastic sediments and marine clays (</w:t>
      </w:r>
      <w:proofErr w:type="spellStart"/>
      <w:r w:rsidRPr="001A786C">
        <w:rPr>
          <w:rFonts w:ascii="Times New Roman" w:eastAsia="Times New Roman" w:hAnsi="Times New Roman" w:cs="Times New Roman"/>
          <w:sz w:val="24"/>
          <w:szCs w:val="24"/>
        </w:rPr>
        <w:t>Schwarcz</w:t>
      </w:r>
      <w:proofErr w:type="spellEnd"/>
      <w:r w:rsidRPr="001A786C">
        <w:rPr>
          <w:rFonts w:ascii="Times New Roman" w:eastAsia="Times New Roman" w:hAnsi="Times New Roman" w:cs="Times New Roman"/>
          <w:sz w:val="24"/>
          <w:szCs w:val="24"/>
        </w:rPr>
        <w:t xml:space="preserve"> et al., 1969; Palmer et al., 1987; </w:t>
      </w:r>
      <w:proofErr w:type="spellStart"/>
      <w:r w:rsidRPr="001A786C">
        <w:rPr>
          <w:rFonts w:ascii="Times New Roman" w:eastAsia="Times New Roman" w:hAnsi="Times New Roman" w:cs="Times New Roman"/>
          <w:sz w:val="24"/>
          <w:szCs w:val="24"/>
        </w:rPr>
        <w:t>Spivack</w:t>
      </w:r>
      <w:proofErr w:type="spellEnd"/>
      <w:r w:rsidRPr="001A786C">
        <w:rPr>
          <w:rFonts w:ascii="Times New Roman" w:eastAsia="Times New Roman" w:hAnsi="Times New Roman" w:cs="Times New Roman"/>
          <w:sz w:val="24"/>
          <w:szCs w:val="24"/>
        </w:rPr>
        <w:t xml:space="preserve"> et al., 1987), as well as coprecipitation in carbonate. Measurements of the boron isotope riverine fluxes by </w:t>
      </w:r>
      <w:proofErr w:type="spellStart"/>
      <w:r w:rsidRPr="001A786C">
        <w:rPr>
          <w:rFonts w:ascii="Times New Roman" w:eastAsia="Times New Roman" w:hAnsi="Times New Roman" w:cs="Times New Roman"/>
          <w:sz w:val="24"/>
          <w:szCs w:val="24"/>
        </w:rPr>
        <w:t>Lemarchand</w:t>
      </w:r>
      <w:proofErr w:type="spellEnd"/>
      <w:r w:rsidRPr="001A786C">
        <w:rPr>
          <w:rFonts w:ascii="Times New Roman" w:eastAsia="Times New Roman" w:hAnsi="Times New Roman" w:cs="Times New Roman"/>
          <w:sz w:val="24"/>
          <w:szCs w:val="24"/>
        </w:rPr>
        <w:t xml:space="preserve"> et al. (2000) and Rose et al. (2000) and box modeling by </w:t>
      </w:r>
      <w:proofErr w:type="spellStart"/>
      <w:r w:rsidRPr="001A786C">
        <w:rPr>
          <w:rFonts w:ascii="Times New Roman" w:eastAsia="Times New Roman" w:hAnsi="Times New Roman" w:cs="Times New Roman"/>
          <w:sz w:val="24"/>
          <w:szCs w:val="24"/>
        </w:rPr>
        <w:t>Lemarchand</w:t>
      </w:r>
      <w:proofErr w:type="spellEnd"/>
      <w:r w:rsidRPr="001A786C">
        <w:rPr>
          <w:rFonts w:ascii="Times New Roman" w:eastAsia="Times New Roman" w:hAnsi="Times New Roman" w:cs="Times New Roman"/>
          <w:sz w:val="24"/>
          <w:szCs w:val="24"/>
        </w:rPr>
        <w:t xml:space="preserve"> et al 2000, </w:t>
      </w:r>
      <w:proofErr w:type="spellStart"/>
      <w:r w:rsidRPr="001A786C">
        <w:rPr>
          <w:rFonts w:ascii="Times New Roman" w:eastAsia="Times New Roman" w:hAnsi="Times New Roman" w:cs="Times New Roman"/>
          <w:sz w:val="24"/>
          <w:szCs w:val="24"/>
        </w:rPr>
        <w:t>Lemarchand</w:t>
      </w:r>
      <w:proofErr w:type="spellEnd"/>
      <w:r w:rsidRPr="001A786C">
        <w:rPr>
          <w:rFonts w:ascii="Times New Roman" w:eastAsia="Times New Roman" w:hAnsi="Times New Roman" w:cs="Times New Roman"/>
          <w:sz w:val="24"/>
          <w:szCs w:val="24"/>
        </w:rPr>
        <w:t xml:space="preserve"> et al 2002 suggested that the present-day boron cycle is at steady state and that the residence time of boron in the oceans is only 14 </w:t>
      </w:r>
      <w:proofErr w:type="spellStart"/>
      <w:r w:rsidRPr="001A786C">
        <w:rPr>
          <w:rFonts w:ascii="Times New Roman" w:eastAsia="Times New Roman" w:hAnsi="Times New Roman" w:cs="Times New Roman"/>
          <w:sz w:val="24"/>
          <w:szCs w:val="24"/>
        </w:rPr>
        <w:t>myr</w:t>
      </w:r>
      <w:proofErr w:type="spellEnd"/>
      <w:r w:rsidRPr="001A786C">
        <w:rPr>
          <w:rFonts w:ascii="Times New Roman" w:eastAsia="Times New Roman" w:hAnsi="Times New Roman" w:cs="Times New Roman"/>
          <w:sz w:val="24"/>
          <w:szCs w:val="24"/>
        </w:rPr>
        <w:t xml:space="preserve">. The calculation of the boron isotope composition of seawater for the past 120 </w:t>
      </w:r>
      <w:proofErr w:type="spellStart"/>
      <w:r w:rsidRPr="001A786C">
        <w:rPr>
          <w:rFonts w:ascii="Times New Roman" w:eastAsia="Times New Roman" w:hAnsi="Times New Roman" w:cs="Times New Roman"/>
          <w:sz w:val="24"/>
          <w:szCs w:val="24"/>
        </w:rPr>
        <w:t>myr</w:t>
      </w:r>
      <w:proofErr w:type="spellEnd"/>
      <w:r w:rsidRPr="001A786C">
        <w:rPr>
          <w:rFonts w:ascii="Times New Roman" w:eastAsia="Times New Roman" w:hAnsi="Times New Roman" w:cs="Times New Roman"/>
          <w:sz w:val="24"/>
          <w:szCs w:val="24"/>
        </w:rPr>
        <w:t xml:space="preserve"> suggested that the hypothesis of a constant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value of seawater is not tenable for time periods longer than a few million years and that the variations in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 xml:space="preserve">B recorded by Pearson and Palmer (2000) for the past 60 </w:t>
      </w:r>
      <w:proofErr w:type="spellStart"/>
      <w:r w:rsidRPr="001A786C">
        <w:rPr>
          <w:rFonts w:ascii="Times New Roman" w:eastAsia="Times New Roman" w:hAnsi="Times New Roman" w:cs="Times New Roman"/>
          <w:sz w:val="24"/>
          <w:szCs w:val="24"/>
        </w:rPr>
        <w:t>myr</w:t>
      </w:r>
      <w:proofErr w:type="spellEnd"/>
      <w:r w:rsidRPr="001A786C">
        <w:rPr>
          <w:rFonts w:ascii="Times New Roman" w:eastAsia="Times New Roman" w:hAnsi="Times New Roman" w:cs="Times New Roman"/>
          <w:sz w:val="24"/>
          <w:szCs w:val="24"/>
        </w:rPr>
        <w:t xml:space="preserve"> may reflect changes in the marine boron isotope budget rather than changes in </w:t>
      </w:r>
      <w:proofErr w:type="spellStart"/>
      <w:r w:rsidRPr="001A786C">
        <w:rPr>
          <w:rFonts w:ascii="Times New Roman" w:eastAsia="Times New Roman" w:hAnsi="Times New Roman" w:cs="Times New Roman"/>
          <w:sz w:val="24"/>
          <w:szCs w:val="24"/>
        </w:rPr>
        <w:t>pH.</w:t>
      </w:r>
      <w:proofErr w:type="spellEnd"/>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This study focuses on the boron isotopic composition of Silurian to Permian brachiopod calcite. Brachiopod shells are composed of low-magnesium calcite that has high potential to preserve its primary geochemical signals. As a consequence, brachiopod shells were intensively used to document changes in δ</w:t>
      </w:r>
      <w:r w:rsidRPr="001A786C">
        <w:rPr>
          <w:rFonts w:ascii="Times New Roman" w:eastAsia="Times New Roman" w:hAnsi="Times New Roman" w:cs="Times New Roman"/>
          <w:sz w:val="24"/>
          <w:szCs w:val="24"/>
          <w:vertAlign w:val="superscript"/>
        </w:rPr>
        <w:t>13</w:t>
      </w:r>
      <w:r w:rsidRPr="001A786C">
        <w:rPr>
          <w:rFonts w:ascii="Times New Roman" w:eastAsia="Times New Roman" w:hAnsi="Times New Roman" w:cs="Times New Roman"/>
          <w:sz w:val="24"/>
          <w:szCs w:val="24"/>
        </w:rPr>
        <w:t>C, δ</w:t>
      </w:r>
      <w:r w:rsidRPr="001A786C">
        <w:rPr>
          <w:rFonts w:ascii="Times New Roman" w:eastAsia="Times New Roman" w:hAnsi="Times New Roman" w:cs="Times New Roman"/>
          <w:sz w:val="24"/>
          <w:szCs w:val="24"/>
          <w:vertAlign w:val="superscript"/>
        </w:rPr>
        <w:t>18</w:t>
      </w:r>
      <w:r w:rsidRPr="001A786C">
        <w:rPr>
          <w:rFonts w:ascii="Times New Roman" w:eastAsia="Times New Roman" w:hAnsi="Times New Roman" w:cs="Times New Roman"/>
          <w:sz w:val="24"/>
          <w:szCs w:val="24"/>
        </w:rPr>
        <w:t xml:space="preserve">O and </w:t>
      </w:r>
      <w:r w:rsidRPr="001A786C">
        <w:rPr>
          <w:rFonts w:ascii="Times New Roman" w:eastAsia="Times New Roman" w:hAnsi="Times New Roman" w:cs="Times New Roman"/>
          <w:sz w:val="24"/>
          <w:szCs w:val="24"/>
          <w:vertAlign w:val="superscript"/>
        </w:rPr>
        <w:t>87</w:t>
      </w:r>
      <w:r w:rsidRPr="001A786C">
        <w:rPr>
          <w:rFonts w:ascii="Times New Roman" w:eastAsia="Times New Roman" w:hAnsi="Times New Roman" w:cs="Times New Roman"/>
          <w:sz w:val="24"/>
          <w:szCs w:val="24"/>
        </w:rPr>
        <w:t>Sr/</w:t>
      </w:r>
      <w:r w:rsidRPr="001A786C">
        <w:rPr>
          <w:rFonts w:ascii="Times New Roman" w:eastAsia="Times New Roman" w:hAnsi="Times New Roman" w:cs="Times New Roman"/>
          <w:sz w:val="24"/>
          <w:szCs w:val="24"/>
          <w:vertAlign w:val="superscript"/>
        </w:rPr>
        <w:t>86</w:t>
      </w:r>
      <w:r w:rsidRPr="001A786C">
        <w:rPr>
          <w:rFonts w:ascii="Times New Roman" w:eastAsia="Times New Roman" w:hAnsi="Times New Roman" w:cs="Times New Roman"/>
          <w:sz w:val="24"/>
          <w:szCs w:val="24"/>
        </w:rPr>
        <w:t xml:space="preserve">Sr in the geological past (e.g., </w:t>
      </w:r>
      <w:proofErr w:type="spellStart"/>
      <w:r w:rsidRPr="001A786C">
        <w:rPr>
          <w:rFonts w:ascii="Times New Roman" w:eastAsia="Times New Roman" w:hAnsi="Times New Roman" w:cs="Times New Roman"/>
          <w:sz w:val="24"/>
          <w:szCs w:val="24"/>
        </w:rPr>
        <w:t>Veizer</w:t>
      </w:r>
      <w:proofErr w:type="spellEnd"/>
      <w:r w:rsidRPr="001A786C">
        <w:rPr>
          <w:rFonts w:ascii="Times New Roman" w:eastAsia="Times New Roman" w:hAnsi="Times New Roman" w:cs="Times New Roman"/>
          <w:sz w:val="24"/>
          <w:szCs w:val="24"/>
        </w:rPr>
        <w:t xml:space="preserve"> et al., 1999). </w:t>
      </w:r>
      <w:proofErr w:type="spellStart"/>
      <w:r w:rsidRPr="001A786C">
        <w:rPr>
          <w:rFonts w:ascii="Times New Roman" w:eastAsia="Times New Roman" w:hAnsi="Times New Roman" w:cs="Times New Roman"/>
          <w:sz w:val="24"/>
          <w:szCs w:val="24"/>
        </w:rPr>
        <w:t>Lécuyer</w:t>
      </w:r>
      <w:proofErr w:type="spellEnd"/>
      <w:r w:rsidRPr="001A786C">
        <w:rPr>
          <w:rFonts w:ascii="Times New Roman" w:eastAsia="Times New Roman" w:hAnsi="Times New Roman" w:cs="Times New Roman"/>
          <w:sz w:val="24"/>
          <w:szCs w:val="24"/>
        </w:rPr>
        <w:t xml:space="preserve"> et al. (2002) investigated the boron isotopic composition of modern brachiopods. The authors observed a comparable dependence on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and pH for brachiopods and cultured foraminifera which suggested that the boron isotopic composition of brachiopod calcite may be a used to reconstruct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of past oceans. The aim of this contribution is to document that pristine Paleozoic brachiopod shells preserved the boron isotope composition of ancient seawater and that the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of Paleozoic seawater was significantly different in comparison to modern seawater.</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Section snippets</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Methods and samples</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 xml:space="preserve">Silurian (Gotland/Sweden), Devonian (Morocco, China, USA), Pennsylvanian (USA) and Early Permian (Oman) brachiopod shells (Table 1) were investigated during this study. Before boron isotope analysis, the shells were carefully screened for diagenetic alteration. All shells were investigated using cathodoluminescence microscopy and only </w:t>
      </w:r>
      <w:proofErr w:type="spellStart"/>
      <w:r w:rsidRPr="001A786C">
        <w:rPr>
          <w:rFonts w:ascii="Times New Roman" w:eastAsia="Times New Roman" w:hAnsi="Times New Roman" w:cs="Times New Roman"/>
          <w:sz w:val="24"/>
          <w:szCs w:val="24"/>
        </w:rPr>
        <w:t>nonluminescent</w:t>
      </w:r>
      <w:proofErr w:type="spellEnd"/>
      <w:r w:rsidRPr="001A786C">
        <w:rPr>
          <w:rFonts w:ascii="Times New Roman" w:eastAsia="Times New Roman" w:hAnsi="Times New Roman" w:cs="Times New Roman"/>
          <w:sz w:val="24"/>
          <w:szCs w:val="24"/>
        </w:rPr>
        <w:t xml:space="preserve"> shells were accepted for further analysis. Trace element contents (B, Mn, Fe, Sr) of shell calcite were determined using a </w:t>
      </w:r>
      <w:proofErr w:type="spellStart"/>
      <w:r w:rsidRPr="001A786C">
        <w:rPr>
          <w:rFonts w:ascii="Times New Roman" w:eastAsia="Times New Roman" w:hAnsi="Times New Roman" w:cs="Times New Roman"/>
          <w:sz w:val="24"/>
          <w:szCs w:val="24"/>
        </w:rPr>
        <w:t>Spectroflame</w:t>
      </w:r>
      <w:proofErr w:type="spellEnd"/>
      <w:r w:rsidRPr="001A786C">
        <w:rPr>
          <w:rFonts w:ascii="Times New Roman" w:eastAsia="Times New Roman" w:hAnsi="Times New Roman" w:cs="Times New Roman"/>
          <w:sz w:val="24"/>
          <w:szCs w:val="24"/>
        </w:rPr>
        <w:t xml:space="preserve"> D</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Trace Element Contents</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lastRenderedPageBreak/>
        <w:t>The strontium contents of Silurian, Devonian and Pennsylvanian to Early Permian brachiopod shells are in the ranges 1211–1830 ppm, 686–1467 ppm and 284–707 ppm, respectively (Table 2; Fig. 1). Manganese contents of the shells from the respective time intervals range from 13–426 ppm, 4–288 ppm and 5–1240 ppm, whereas iron contents range from 2–409 ppm, 43–170 ppm, and 19–3570 ppm, respectively. The boron contents of the Silurian, Devonian and Pennsylvanian to Early Permian brachiopod shells are</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Discussion</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Boron is considered as a highly mobile element and diagenetic recrystallization is expected to alter boron contents as well as the primary boron isotope composition of shell calcite. Any interpretation of the measured boron isotope values with respect to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or pH of ancient oceans requires that a diagenetic recrystallization of the shells must be ruled out. Cathodoluminescence microscopy, trace element concentrations as well as preservation of shell microstructures were used as criteria for</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Conclusions</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The boron isotopic compositions of Paleozoic brachiopod calcite are significantly depleted in comparison to modern brachiopod or biogenic calcite. These low δ</w:t>
      </w:r>
      <w:r w:rsidRPr="001A786C">
        <w:rPr>
          <w:rFonts w:ascii="Times New Roman" w:eastAsia="Times New Roman" w:hAnsi="Times New Roman" w:cs="Times New Roman"/>
          <w:sz w:val="24"/>
          <w:szCs w:val="24"/>
          <w:vertAlign w:val="superscript"/>
        </w:rPr>
        <w:t>11</w:t>
      </w:r>
      <w:r w:rsidRPr="001A786C">
        <w:rPr>
          <w:rFonts w:ascii="Times New Roman" w:eastAsia="Times New Roman" w:hAnsi="Times New Roman" w:cs="Times New Roman"/>
          <w:sz w:val="24"/>
          <w:szCs w:val="24"/>
        </w:rPr>
        <w:t>B values cannot be explained by a loss of boron or exchange of boron isotopes during diagenesis because the shells are well-preserved and reflect boron contents comparable to modern biogenic carbonate. High boron contents are taken as additional argument for a preservation of the geochemical signals since the high mobility of boron</w:t>
      </w:r>
    </w:p>
    <w:p w:rsidR="001A786C" w:rsidRPr="001A786C" w:rsidRDefault="001A786C" w:rsidP="001A786C">
      <w:pPr>
        <w:spacing w:before="100" w:beforeAutospacing="1" w:after="100" w:afterAutospacing="1" w:line="240" w:lineRule="auto"/>
        <w:outlineLvl w:val="1"/>
        <w:rPr>
          <w:rFonts w:ascii="Times New Roman" w:eastAsia="Times New Roman" w:hAnsi="Times New Roman" w:cs="Times New Roman"/>
          <w:b/>
          <w:bCs/>
          <w:sz w:val="36"/>
          <w:szCs w:val="36"/>
        </w:rPr>
      </w:pPr>
      <w:r w:rsidRPr="001A786C">
        <w:rPr>
          <w:rFonts w:ascii="Times New Roman" w:eastAsia="Times New Roman" w:hAnsi="Times New Roman" w:cs="Times New Roman"/>
          <w:b/>
          <w:bCs/>
          <w:sz w:val="36"/>
          <w:szCs w:val="36"/>
        </w:rPr>
        <w:t>Acknowledgments</w:t>
      </w:r>
    </w:p>
    <w:p w:rsidR="001A786C" w:rsidRPr="001A786C" w:rsidRDefault="001A786C" w:rsidP="001A786C">
      <w:pPr>
        <w:spacing w:before="100" w:beforeAutospacing="1" w:after="100" w:afterAutospacing="1" w:line="240" w:lineRule="auto"/>
        <w:rPr>
          <w:rFonts w:ascii="Times New Roman" w:eastAsia="Times New Roman" w:hAnsi="Times New Roman" w:cs="Times New Roman"/>
          <w:sz w:val="24"/>
          <w:szCs w:val="24"/>
        </w:rPr>
      </w:pPr>
      <w:r w:rsidRPr="001A786C">
        <w:rPr>
          <w:rFonts w:ascii="Times New Roman" w:eastAsia="Times New Roman" w:hAnsi="Times New Roman" w:cs="Times New Roman"/>
          <w:sz w:val="24"/>
          <w:szCs w:val="24"/>
        </w:rPr>
        <w:t xml:space="preserve">We thank Phillipe </w:t>
      </w:r>
      <w:proofErr w:type="spellStart"/>
      <w:r w:rsidRPr="001A786C">
        <w:rPr>
          <w:rFonts w:ascii="Times New Roman" w:eastAsia="Times New Roman" w:hAnsi="Times New Roman" w:cs="Times New Roman"/>
          <w:sz w:val="24"/>
          <w:szCs w:val="24"/>
        </w:rPr>
        <w:t>Telouk</w:t>
      </w:r>
      <w:proofErr w:type="spellEnd"/>
      <w:r w:rsidRPr="001A786C">
        <w:rPr>
          <w:rFonts w:ascii="Times New Roman" w:eastAsia="Times New Roman" w:hAnsi="Times New Roman" w:cs="Times New Roman"/>
          <w:sz w:val="24"/>
          <w:szCs w:val="24"/>
        </w:rPr>
        <w:t xml:space="preserve"> (École </w:t>
      </w:r>
      <w:proofErr w:type="spellStart"/>
      <w:r w:rsidRPr="001A786C">
        <w:rPr>
          <w:rFonts w:ascii="Times New Roman" w:eastAsia="Times New Roman" w:hAnsi="Times New Roman" w:cs="Times New Roman"/>
          <w:sz w:val="24"/>
          <w:szCs w:val="24"/>
        </w:rPr>
        <w:t>Normale</w:t>
      </w:r>
      <w:proofErr w:type="spellEnd"/>
      <w:r w:rsidRPr="001A786C">
        <w:rPr>
          <w:rFonts w:ascii="Times New Roman" w:eastAsia="Times New Roman" w:hAnsi="Times New Roman" w:cs="Times New Roman"/>
          <w:sz w:val="24"/>
          <w:szCs w:val="24"/>
        </w:rPr>
        <w:t xml:space="preserve"> Supérieure de Lyon) for helpful support during the boron isotope analysis at the ENS at Lyon. Lucia </w:t>
      </w:r>
      <w:proofErr w:type="spellStart"/>
      <w:r w:rsidRPr="001A786C">
        <w:rPr>
          <w:rFonts w:ascii="Times New Roman" w:eastAsia="Times New Roman" w:hAnsi="Times New Roman" w:cs="Times New Roman"/>
          <w:sz w:val="24"/>
          <w:szCs w:val="24"/>
        </w:rPr>
        <w:t>Angiolini</w:t>
      </w:r>
      <w:proofErr w:type="spellEnd"/>
      <w:r w:rsidRPr="001A786C">
        <w:rPr>
          <w:rFonts w:ascii="Times New Roman" w:eastAsia="Times New Roman" w:hAnsi="Times New Roman" w:cs="Times New Roman"/>
          <w:sz w:val="24"/>
          <w:szCs w:val="24"/>
        </w:rPr>
        <w:t xml:space="preserve"> (University of Milano) is thanked for providing Permian brachiopods from Oman. Axel </w:t>
      </w:r>
      <w:proofErr w:type="spellStart"/>
      <w:r w:rsidRPr="001A786C">
        <w:rPr>
          <w:rFonts w:ascii="Times New Roman" w:eastAsia="Times New Roman" w:hAnsi="Times New Roman" w:cs="Times New Roman"/>
          <w:sz w:val="24"/>
          <w:szCs w:val="24"/>
        </w:rPr>
        <w:t>Munnecke</w:t>
      </w:r>
      <w:proofErr w:type="spellEnd"/>
      <w:r w:rsidRPr="001A786C">
        <w:rPr>
          <w:rFonts w:ascii="Times New Roman" w:eastAsia="Times New Roman" w:hAnsi="Times New Roman" w:cs="Times New Roman"/>
          <w:sz w:val="24"/>
          <w:szCs w:val="24"/>
        </w:rPr>
        <w:t xml:space="preserve"> (University of Erlangen) kindly provided Silurian brachiopods from Gotland. The constructive comments by three anonymous reviewer and by GCA associate editor Tim Lowenstein greatly improved the manuscript. This study was financially supported by the German </w:t>
      </w:r>
    </w:p>
    <w:p w:rsidR="00F2082F" w:rsidRDefault="00F2082F"/>
    <w:sectPr w:rsidR="00F2082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86C"/>
    <w:rsid w:val="001A786C"/>
    <w:rsid w:val="00F208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8CEF4"/>
  <w15:chartTrackingRefBased/>
  <w15:docId w15:val="{B1EAD987-C9EF-4E49-B259-6D05F301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08728992">
      <w:bodyDiv w:val="1"/>
      <w:marLeft w:val="0"/>
      <w:marRight w:val="0"/>
      <w:marTop w:val="0"/>
      <w:marBottom w:val="0"/>
      <w:divBdr>
        <w:top w:val="none" w:sz="0" w:space="0" w:color="auto"/>
        <w:left w:val="none" w:sz="0" w:space="0" w:color="auto"/>
        <w:bottom w:val="none" w:sz="0" w:space="0" w:color="auto"/>
        <w:right w:val="none" w:sz="0" w:space="0" w:color="auto"/>
      </w:divBdr>
      <w:divsChild>
        <w:div w:id="1913390521">
          <w:marLeft w:val="0"/>
          <w:marRight w:val="0"/>
          <w:marTop w:val="0"/>
          <w:marBottom w:val="0"/>
          <w:divBdr>
            <w:top w:val="none" w:sz="0" w:space="0" w:color="auto"/>
            <w:left w:val="none" w:sz="0" w:space="0" w:color="auto"/>
            <w:bottom w:val="none" w:sz="0" w:space="0" w:color="auto"/>
            <w:right w:val="none" w:sz="0" w:space="0" w:color="auto"/>
          </w:divBdr>
          <w:divsChild>
            <w:div w:id="1391688145">
              <w:marLeft w:val="0"/>
              <w:marRight w:val="0"/>
              <w:marTop w:val="0"/>
              <w:marBottom w:val="0"/>
              <w:divBdr>
                <w:top w:val="none" w:sz="0" w:space="0" w:color="auto"/>
                <w:left w:val="none" w:sz="0" w:space="0" w:color="auto"/>
                <w:bottom w:val="none" w:sz="0" w:space="0" w:color="auto"/>
                <w:right w:val="none" w:sz="0" w:space="0" w:color="auto"/>
              </w:divBdr>
              <w:divsChild>
                <w:div w:id="1952128414">
                  <w:marLeft w:val="0"/>
                  <w:marRight w:val="0"/>
                  <w:marTop w:val="0"/>
                  <w:marBottom w:val="0"/>
                  <w:divBdr>
                    <w:top w:val="none" w:sz="0" w:space="0" w:color="auto"/>
                    <w:left w:val="none" w:sz="0" w:space="0" w:color="auto"/>
                    <w:bottom w:val="none" w:sz="0" w:space="0" w:color="auto"/>
                    <w:right w:val="none" w:sz="0" w:space="0" w:color="auto"/>
                  </w:divBdr>
                  <w:divsChild>
                    <w:div w:id="112099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811471">
          <w:marLeft w:val="0"/>
          <w:marRight w:val="0"/>
          <w:marTop w:val="0"/>
          <w:marBottom w:val="0"/>
          <w:divBdr>
            <w:top w:val="none" w:sz="0" w:space="0" w:color="auto"/>
            <w:left w:val="none" w:sz="0" w:space="0" w:color="auto"/>
            <w:bottom w:val="none" w:sz="0" w:space="0" w:color="auto"/>
            <w:right w:val="none" w:sz="0" w:space="0" w:color="auto"/>
          </w:divBdr>
          <w:divsChild>
            <w:div w:id="336923583">
              <w:marLeft w:val="0"/>
              <w:marRight w:val="0"/>
              <w:marTop w:val="0"/>
              <w:marBottom w:val="0"/>
              <w:divBdr>
                <w:top w:val="none" w:sz="0" w:space="0" w:color="auto"/>
                <w:left w:val="none" w:sz="0" w:space="0" w:color="auto"/>
                <w:bottom w:val="none" w:sz="0" w:space="0" w:color="auto"/>
                <w:right w:val="none" w:sz="0" w:space="0" w:color="auto"/>
              </w:divBdr>
              <w:divsChild>
                <w:div w:id="1276713009">
                  <w:marLeft w:val="0"/>
                  <w:marRight w:val="0"/>
                  <w:marTop w:val="0"/>
                  <w:marBottom w:val="0"/>
                  <w:divBdr>
                    <w:top w:val="none" w:sz="0" w:space="0" w:color="auto"/>
                    <w:left w:val="none" w:sz="0" w:space="0" w:color="auto"/>
                    <w:bottom w:val="none" w:sz="0" w:space="0" w:color="auto"/>
                    <w:right w:val="none" w:sz="0" w:space="0" w:color="auto"/>
                  </w:divBdr>
                  <w:divsChild>
                    <w:div w:id="473789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330572">
          <w:marLeft w:val="0"/>
          <w:marRight w:val="0"/>
          <w:marTop w:val="0"/>
          <w:marBottom w:val="0"/>
          <w:divBdr>
            <w:top w:val="none" w:sz="0" w:space="0" w:color="auto"/>
            <w:left w:val="none" w:sz="0" w:space="0" w:color="auto"/>
            <w:bottom w:val="none" w:sz="0" w:space="0" w:color="auto"/>
            <w:right w:val="none" w:sz="0" w:space="0" w:color="auto"/>
          </w:divBdr>
          <w:divsChild>
            <w:div w:id="286133113">
              <w:marLeft w:val="0"/>
              <w:marRight w:val="0"/>
              <w:marTop w:val="0"/>
              <w:marBottom w:val="0"/>
              <w:divBdr>
                <w:top w:val="none" w:sz="0" w:space="0" w:color="auto"/>
                <w:left w:val="none" w:sz="0" w:space="0" w:color="auto"/>
                <w:bottom w:val="none" w:sz="0" w:space="0" w:color="auto"/>
                <w:right w:val="none" w:sz="0" w:space="0" w:color="auto"/>
              </w:divBdr>
            </w:div>
          </w:divsChild>
        </w:div>
        <w:div w:id="778186200">
          <w:marLeft w:val="0"/>
          <w:marRight w:val="0"/>
          <w:marTop w:val="0"/>
          <w:marBottom w:val="0"/>
          <w:divBdr>
            <w:top w:val="none" w:sz="0" w:space="0" w:color="auto"/>
            <w:left w:val="none" w:sz="0" w:space="0" w:color="auto"/>
            <w:bottom w:val="none" w:sz="0" w:space="0" w:color="auto"/>
            <w:right w:val="none" w:sz="0" w:space="0" w:color="auto"/>
          </w:divBdr>
          <w:divsChild>
            <w:div w:id="145988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alcite"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permian" TargetMode="External"/><Relationship Id="rId12" Type="http://schemas.openxmlformats.org/officeDocument/2006/relationships/hyperlink" Target="https://www.sciencedirect.com/topics/earth-and-planetary-sciences/geochemical-cycl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ilurian" TargetMode="External"/><Relationship Id="rId11" Type="http://schemas.openxmlformats.org/officeDocument/2006/relationships/hyperlink" Target="https://www.sciencedirect.com/topics/earth-and-planetary-sciences/devonian" TargetMode="External"/><Relationship Id="rId5" Type="http://schemas.openxmlformats.org/officeDocument/2006/relationships/hyperlink" Target="https://www.sciencedirect.com/topics/earth-and-planetary-sciences/isotopic-composition" TargetMode="External"/><Relationship Id="rId10" Type="http://schemas.openxmlformats.org/officeDocument/2006/relationships/hyperlink" Target="https://www.sciencedirect.com/topics/earth-and-planetary-sciences/trace-element-geochemistry" TargetMode="External"/><Relationship Id="rId4" Type="http://schemas.openxmlformats.org/officeDocument/2006/relationships/hyperlink" Target="https://doi.org/10.1016/j.gca.2004.11.017" TargetMode="External"/><Relationship Id="rId9" Type="http://schemas.openxmlformats.org/officeDocument/2006/relationships/hyperlink" Target="https://www.sciencedirect.com/topics/earth-and-planetary-sciences/cathodoluminescen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1498</Words>
  <Characters>8539</Characters>
  <Application>Microsoft Office Word</Application>
  <DocSecurity>0</DocSecurity>
  <Lines>71</Lines>
  <Paragraphs>20</Paragraphs>
  <ScaleCrop>false</ScaleCrop>
  <Company/>
  <LinksUpToDate>false</LinksUpToDate>
  <CharactersWithSpaces>10017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2023-11-18T04:11:00Z</dcterms:created>
  <dcterms:modified xsi:type="dcterms:W3CDTF">2023-11-18T04:11:00Z</dcterms:modified>
</cp:coreProperties>
</file>