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06F82" w:rsidRPr="00906F82" w:rsidRDefault="00906F82" w:rsidP="00906F82">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906F82">
        <w:rPr>
          <w:rFonts w:ascii="Times New Roman" w:eastAsia="Times New Roman" w:hAnsi="Times New Roman" w:cs="Times New Roman"/>
          <w:b/>
          <w:bCs/>
          <w:kern w:val="36"/>
          <w:sz w:val="48"/>
          <w:szCs w:val="48"/>
        </w:rPr>
        <w:t>Barium uptake and adsorption in diatoms</w:t>
      </w:r>
    </w:p>
    <w:p w:rsidR="00906F82" w:rsidRPr="00906F82" w:rsidRDefault="00906F82" w:rsidP="00906F82">
      <w:pPr>
        <w:spacing w:after="0"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Author links open overlay panel</w:t>
      </w:r>
    </w:p>
    <w:p w:rsidR="00906F82" w:rsidRPr="00906F82" w:rsidRDefault="00906F82" w:rsidP="00906F82">
      <w:pPr>
        <w:spacing w:after="0"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 xml:space="preserve">, , , , </w:t>
      </w:r>
    </w:p>
    <w:p w:rsidR="00906F82" w:rsidRPr="00906F82" w:rsidRDefault="00906F82" w:rsidP="00906F82">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906F82">
          <w:rPr>
            <w:rFonts w:ascii="Times New Roman" w:eastAsia="Times New Roman" w:hAnsi="Times New Roman" w:cs="Times New Roman"/>
            <w:color w:val="0000FF"/>
            <w:sz w:val="24"/>
            <w:szCs w:val="24"/>
            <w:u w:val="single"/>
          </w:rPr>
          <w:t>https://doi.org/10.1016/j.gca.2004.11.026</w:t>
        </w:r>
      </w:hyperlink>
      <w:bookmarkStart w:id="0" w:name="_GoBack"/>
      <w:bookmarkEnd w:id="0"/>
      <w:r w:rsidRPr="00906F82">
        <w:rPr>
          <w:rFonts w:ascii="Times New Roman" w:eastAsia="Times New Roman" w:hAnsi="Times New Roman" w:cs="Times New Roman"/>
          <w:sz w:val="24"/>
          <w:szCs w:val="24"/>
        </w:rPr>
        <w:t xml:space="preserve"> </w:t>
      </w:r>
    </w:p>
    <w:p w:rsidR="00906F82" w:rsidRPr="00906F82" w:rsidRDefault="00906F82" w:rsidP="00906F82">
      <w:pPr>
        <w:spacing w:before="100" w:beforeAutospacing="1" w:after="100" w:afterAutospacing="1" w:line="240" w:lineRule="auto"/>
        <w:outlineLvl w:val="1"/>
        <w:rPr>
          <w:rFonts w:ascii="Times New Roman" w:eastAsia="Times New Roman" w:hAnsi="Times New Roman" w:cs="Times New Roman"/>
          <w:b/>
          <w:bCs/>
          <w:sz w:val="36"/>
          <w:szCs w:val="36"/>
        </w:rPr>
      </w:pPr>
      <w:r w:rsidRPr="00906F82">
        <w:rPr>
          <w:rFonts w:ascii="Times New Roman" w:eastAsia="Times New Roman" w:hAnsi="Times New Roman" w:cs="Times New Roman"/>
          <w:b/>
          <w:bCs/>
          <w:sz w:val="36"/>
          <w:szCs w:val="36"/>
        </w:rPr>
        <w:t>Abstract</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 xml:space="preserve">Using trace metal-defined culture conditions, we measured the cellular barium concentration in cultures of the diatom </w:t>
      </w:r>
      <w:proofErr w:type="spellStart"/>
      <w:r w:rsidRPr="00906F82">
        <w:rPr>
          <w:rFonts w:ascii="Times New Roman" w:eastAsia="Times New Roman" w:hAnsi="Times New Roman" w:cs="Times New Roman"/>
          <w:i/>
          <w:iCs/>
          <w:sz w:val="24"/>
          <w:szCs w:val="24"/>
        </w:rPr>
        <w:t>Thalassiosira</w:t>
      </w:r>
      <w:proofErr w:type="spellEnd"/>
      <w:r w:rsidRPr="00906F82">
        <w:rPr>
          <w:rFonts w:ascii="Times New Roman" w:eastAsia="Times New Roman" w:hAnsi="Times New Roman" w:cs="Times New Roman"/>
          <w:i/>
          <w:iCs/>
          <w:sz w:val="24"/>
          <w:szCs w:val="24"/>
        </w:rPr>
        <w:t xml:space="preserve"> </w:t>
      </w:r>
      <w:proofErr w:type="spellStart"/>
      <w:r w:rsidRPr="00906F82">
        <w:rPr>
          <w:rFonts w:ascii="Times New Roman" w:eastAsia="Times New Roman" w:hAnsi="Times New Roman" w:cs="Times New Roman"/>
          <w:i/>
          <w:iCs/>
          <w:sz w:val="24"/>
          <w:szCs w:val="24"/>
        </w:rPr>
        <w:t>weissflogii</w:t>
      </w:r>
      <w:proofErr w:type="spellEnd"/>
      <w:r w:rsidRPr="00906F82">
        <w:rPr>
          <w:rFonts w:ascii="Times New Roman" w:eastAsia="Times New Roman" w:hAnsi="Times New Roman" w:cs="Times New Roman"/>
          <w:sz w:val="24"/>
          <w:szCs w:val="24"/>
        </w:rPr>
        <w:t xml:space="preserve">. In cultures with low Fe concentration, at a typical surface seawater Ba concentration of 35 to 40 nmol/L, the cellular Ba was 0.5 </w:t>
      </w:r>
      <w:proofErr w:type="spellStart"/>
      <w:r w:rsidRPr="00906F82">
        <w:rPr>
          <w:rFonts w:ascii="Times New Roman" w:eastAsia="Times New Roman" w:hAnsi="Times New Roman" w:cs="Times New Roman"/>
          <w:sz w:val="24"/>
          <w:szCs w:val="24"/>
        </w:rPr>
        <w:t>μmol</w:t>
      </w:r>
      <w:proofErr w:type="spellEnd"/>
      <w:r w:rsidRPr="00906F82">
        <w:rPr>
          <w:rFonts w:ascii="Times New Roman" w:eastAsia="Times New Roman" w:hAnsi="Times New Roman" w:cs="Times New Roman"/>
          <w:sz w:val="24"/>
          <w:szCs w:val="24"/>
        </w:rPr>
        <w:t>/mol P (</w:t>
      </w:r>
      <w:r w:rsidRPr="00906F82">
        <w:rPr>
          <w:rFonts w:ascii="Cambria Math" w:eastAsia="Times New Roman" w:hAnsi="Cambria Math" w:cs="Cambria Math"/>
          <w:sz w:val="24"/>
          <w:szCs w:val="24"/>
        </w:rPr>
        <w:t>∼</w:t>
      </w:r>
      <w:r w:rsidRPr="00906F82">
        <w:rPr>
          <w:rFonts w:ascii="Times New Roman" w:eastAsia="Times New Roman" w:hAnsi="Times New Roman" w:cs="Times New Roman"/>
          <w:sz w:val="24"/>
          <w:szCs w:val="24"/>
        </w:rPr>
        <w:t xml:space="preserve">0.04 </w:t>
      </w:r>
      <w:proofErr w:type="spellStart"/>
      <w:r w:rsidRPr="00906F82">
        <w:rPr>
          <w:rFonts w:ascii="Times New Roman" w:eastAsia="Times New Roman" w:hAnsi="Times New Roman" w:cs="Times New Roman"/>
          <w:sz w:val="24"/>
          <w:szCs w:val="24"/>
        </w:rPr>
        <w:t>μg</w:t>
      </w:r>
      <w:proofErr w:type="spellEnd"/>
      <w:r w:rsidRPr="00906F82">
        <w:rPr>
          <w:rFonts w:ascii="Times New Roman" w:eastAsia="Times New Roman" w:hAnsi="Times New Roman" w:cs="Times New Roman"/>
          <w:sz w:val="24"/>
          <w:szCs w:val="24"/>
        </w:rPr>
        <w:t xml:space="preserve">/g </w:t>
      </w:r>
      <w:proofErr w:type="spellStart"/>
      <w:r w:rsidRPr="00906F82">
        <w:rPr>
          <w:rFonts w:ascii="Times New Roman" w:eastAsia="Times New Roman" w:hAnsi="Times New Roman" w:cs="Times New Roman"/>
          <w:sz w:val="24"/>
          <w:szCs w:val="24"/>
        </w:rPr>
        <w:t>dw</w:t>
      </w:r>
      <w:proofErr w:type="spellEnd"/>
      <w:r w:rsidRPr="00906F82">
        <w:rPr>
          <w:rFonts w:ascii="Times New Roman" w:eastAsia="Times New Roman" w:hAnsi="Times New Roman" w:cs="Times New Roman"/>
          <w:sz w:val="24"/>
          <w:szCs w:val="24"/>
        </w:rPr>
        <w:t xml:space="preserve">), much below all previously published values for </w:t>
      </w:r>
      <w:hyperlink r:id="rId5" w:tooltip="Learn more about phytoplankton from ScienceDirect's AI-generated Topic Pages" w:history="1">
        <w:r w:rsidRPr="00906F82">
          <w:rPr>
            <w:rFonts w:ascii="Times New Roman" w:eastAsia="Times New Roman" w:hAnsi="Times New Roman" w:cs="Times New Roman"/>
            <w:color w:val="0000FF"/>
            <w:sz w:val="24"/>
            <w:szCs w:val="24"/>
            <w:u w:val="single"/>
          </w:rPr>
          <w:t>phytoplankton</w:t>
        </w:r>
      </w:hyperlink>
      <w:r w:rsidRPr="00906F82">
        <w:rPr>
          <w:rFonts w:ascii="Times New Roman" w:eastAsia="Times New Roman" w:hAnsi="Times New Roman" w:cs="Times New Roman"/>
          <w:sz w:val="24"/>
          <w:szCs w:val="24"/>
        </w:rPr>
        <w:t xml:space="preserve">. When the Fe concentration in the growth medium was increased, the measured “cellular” Ba increased proportionally to the particulate Fe. Under conditions of ferric hydroxide precipitation, similar particulate Ba concentrations were measured in the absence and the presence of cells for a given concentration of particulate Fe. Thus, the bulk of the particulate Ba in such experiments was not truly intracellular but adsorbed on precipitated Fe hydroxides associated with the cell surface. A similar mechanism likely explains the high cellular Ba concentrations reported by previous investigators who utilized relatively high ratios of Fe to EDTA concentrations in the growth medium, resulting in Fe precipitation. On the basis of our results, it seems highly unlikely that intracellular uptake by living </w:t>
      </w:r>
      <w:hyperlink r:id="rId6" w:tooltip="Learn more about phytoplankton from ScienceDirect's AI-generated Topic Pages" w:history="1">
        <w:r w:rsidRPr="00906F82">
          <w:rPr>
            <w:rFonts w:ascii="Times New Roman" w:eastAsia="Times New Roman" w:hAnsi="Times New Roman" w:cs="Times New Roman"/>
            <w:color w:val="0000FF"/>
            <w:sz w:val="24"/>
            <w:szCs w:val="24"/>
            <w:u w:val="single"/>
          </w:rPr>
          <w:t>phytoplankton</w:t>
        </w:r>
      </w:hyperlink>
      <w:r w:rsidRPr="00906F82">
        <w:rPr>
          <w:rFonts w:ascii="Times New Roman" w:eastAsia="Times New Roman" w:hAnsi="Times New Roman" w:cs="Times New Roman"/>
          <w:sz w:val="24"/>
          <w:szCs w:val="24"/>
        </w:rPr>
        <w:t xml:space="preserve"> explains the vertical flux of Ba in oceanic waters. But the adsorption of Ba on Fe hydroxides that is seen in laboratory experiments must also occur in the oceans and contribute to Ba transport in the upper part of the water column. To be significant, however, such a mechanism would require that the particles that transport Ba out of the surface have a markedly lower Ba/Fe ratio than is measured in the average suspended material.</w:t>
      </w:r>
    </w:p>
    <w:p w:rsidR="00906F82" w:rsidRPr="00906F82" w:rsidRDefault="00906F82" w:rsidP="00906F82">
      <w:pPr>
        <w:spacing w:before="100" w:beforeAutospacing="1" w:after="100" w:afterAutospacing="1" w:line="240" w:lineRule="auto"/>
        <w:outlineLvl w:val="1"/>
        <w:rPr>
          <w:rFonts w:ascii="Times New Roman" w:eastAsia="Times New Roman" w:hAnsi="Times New Roman" w:cs="Times New Roman"/>
          <w:b/>
          <w:bCs/>
          <w:sz w:val="36"/>
          <w:szCs w:val="36"/>
        </w:rPr>
      </w:pPr>
      <w:r w:rsidRPr="00906F82">
        <w:rPr>
          <w:rFonts w:ascii="Times New Roman" w:eastAsia="Times New Roman" w:hAnsi="Times New Roman" w:cs="Times New Roman"/>
          <w:b/>
          <w:bCs/>
          <w:sz w:val="36"/>
          <w:szCs w:val="36"/>
        </w:rPr>
        <w:t>Introduction</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Barite, a primary Ba mineral (BaSO</w:t>
      </w:r>
      <w:r w:rsidRPr="00906F82">
        <w:rPr>
          <w:rFonts w:ascii="Times New Roman" w:eastAsia="Times New Roman" w:hAnsi="Times New Roman" w:cs="Times New Roman"/>
          <w:sz w:val="24"/>
          <w:szCs w:val="24"/>
          <w:vertAlign w:val="subscript"/>
        </w:rPr>
        <w:t>4</w:t>
      </w:r>
      <w:r w:rsidRPr="00906F82">
        <w:rPr>
          <w:rFonts w:ascii="Times New Roman" w:eastAsia="Times New Roman" w:hAnsi="Times New Roman" w:cs="Times New Roman"/>
          <w:sz w:val="24"/>
          <w:szCs w:val="24"/>
        </w:rPr>
        <w:t xml:space="preserve">), is among the most studied proxies used to reconstruct primary production in the paleo-ocean. High barite concentrations have been measured in sediments underlying highly productive waters (Goldberg and Arrhenius 1958, </w:t>
      </w:r>
      <w:proofErr w:type="spellStart"/>
      <w:r w:rsidRPr="00906F82">
        <w:rPr>
          <w:rFonts w:ascii="Times New Roman" w:eastAsia="Times New Roman" w:hAnsi="Times New Roman" w:cs="Times New Roman"/>
          <w:sz w:val="24"/>
          <w:szCs w:val="24"/>
        </w:rPr>
        <w:t>Turekian</w:t>
      </w:r>
      <w:proofErr w:type="spellEnd"/>
      <w:r w:rsidRPr="00906F82">
        <w:rPr>
          <w:rFonts w:ascii="Times New Roman" w:eastAsia="Times New Roman" w:hAnsi="Times New Roman" w:cs="Times New Roman"/>
          <w:sz w:val="24"/>
          <w:szCs w:val="24"/>
        </w:rPr>
        <w:t xml:space="preserve"> and </w:t>
      </w:r>
      <w:proofErr w:type="spellStart"/>
      <w:r w:rsidRPr="00906F82">
        <w:rPr>
          <w:rFonts w:ascii="Times New Roman" w:eastAsia="Times New Roman" w:hAnsi="Times New Roman" w:cs="Times New Roman"/>
          <w:sz w:val="24"/>
          <w:szCs w:val="24"/>
        </w:rPr>
        <w:t>Tausch</w:t>
      </w:r>
      <w:proofErr w:type="spellEnd"/>
      <w:r w:rsidRPr="00906F82">
        <w:rPr>
          <w:rFonts w:ascii="Times New Roman" w:eastAsia="Times New Roman" w:hAnsi="Times New Roman" w:cs="Times New Roman"/>
          <w:sz w:val="24"/>
          <w:szCs w:val="24"/>
        </w:rPr>
        <w:t xml:space="preserve"> 1964, </w:t>
      </w:r>
      <w:proofErr w:type="spellStart"/>
      <w:r w:rsidRPr="00906F82">
        <w:rPr>
          <w:rFonts w:ascii="Times New Roman" w:eastAsia="Times New Roman" w:hAnsi="Times New Roman" w:cs="Times New Roman"/>
          <w:sz w:val="24"/>
          <w:szCs w:val="24"/>
        </w:rPr>
        <w:t>Paytan</w:t>
      </w:r>
      <w:proofErr w:type="spellEnd"/>
      <w:r w:rsidRPr="00906F82">
        <w:rPr>
          <w:rFonts w:ascii="Times New Roman" w:eastAsia="Times New Roman" w:hAnsi="Times New Roman" w:cs="Times New Roman"/>
          <w:sz w:val="24"/>
          <w:szCs w:val="24"/>
        </w:rPr>
        <w:t xml:space="preserve"> et al 1993, </w:t>
      </w:r>
      <w:proofErr w:type="spellStart"/>
      <w:r w:rsidRPr="00906F82">
        <w:rPr>
          <w:rFonts w:ascii="Times New Roman" w:eastAsia="Times New Roman" w:hAnsi="Times New Roman" w:cs="Times New Roman"/>
          <w:sz w:val="24"/>
          <w:szCs w:val="24"/>
        </w:rPr>
        <w:t>Gingele</w:t>
      </w:r>
      <w:proofErr w:type="spellEnd"/>
      <w:r w:rsidRPr="00906F82">
        <w:rPr>
          <w:rFonts w:ascii="Times New Roman" w:eastAsia="Times New Roman" w:hAnsi="Times New Roman" w:cs="Times New Roman"/>
          <w:sz w:val="24"/>
          <w:szCs w:val="24"/>
        </w:rPr>
        <w:t xml:space="preserve"> and </w:t>
      </w:r>
      <w:proofErr w:type="spellStart"/>
      <w:r w:rsidRPr="00906F82">
        <w:rPr>
          <w:rFonts w:ascii="Times New Roman" w:eastAsia="Times New Roman" w:hAnsi="Times New Roman" w:cs="Times New Roman"/>
          <w:sz w:val="24"/>
          <w:szCs w:val="24"/>
        </w:rPr>
        <w:t>Dahmke</w:t>
      </w:r>
      <w:proofErr w:type="spellEnd"/>
      <w:r w:rsidRPr="00906F82">
        <w:rPr>
          <w:rFonts w:ascii="Times New Roman" w:eastAsia="Times New Roman" w:hAnsi="Times New Roman" w:cs="Times New Roman"/>
          <w:sz w:val="24"/>
          <w:szCs w:val="24"/>
        </w:rPr>
        <w:t xml:space="preserve"> 1994) and the flux of particulate biogenic barium correlates well with the flux of organic carbon (Dehairs et al 1980, </w:t>
      </w:r>
      <w:proofErr w:type="spellStart"/>
      <w:r w:rsidRPr="00906F82">
        <w:rPr>
          <w:rFonts w:ascii="Times New Roman" w:eastAsia="Times New Roman" w:hAnsi="Times New Roman" w:cs="Times New Roman"/>
          <w:sz w:val="24"/>
          <w:szCs w:val="24"/>
        </w:rPr>
        <w:t>Stroobants</w:t>
      </w:r>
      <w:proofErr w:type="spellEnd"/>
      <w:r w:rsidRPr="00906F82">
        <w:rPr>
          <w:rFonts w:ascii="Times New Roman" w:eastAsia="Times New Roman" w:hAnsi="Times New Roman" w:cs="Times New Roman"/>
          <w:sz w:val="24"/>
          <w:szCs w:val="24"/>
        </w:rPr>
        <w:t xml:space="preserve"> et al 1991, </w:t>
      </w:r>
      <w:proofErr w:type="spellStart"/>
      <w:r w:rsidRPr="00906F82">
        <w:rPr>
          <w:rFonts w:ascii="Times New Roman" w:eastAsia="Times New Roman" w:hAnsi="Times New Roman" w:cs="Times New Roman"/>
          <w:sz w:val="24"/>
          <w:szCs w:val="24"/>
        </w:rPr>
        <w:t>Dymond</w:t>
      </w:r>
      <w:proofErr w:type="spellEnd"/>
      <w:r w:rsidRPr="00906F82">
        <w:rPr>
          <w:rFonts w:ascii="Times New Roman" w:eastAsia="Times New Roman" w:hAnsi="Times New Roman" w:cs="Times New Roman"/>
          <w:sz w:val="24"/>
          <w:szCs w:val="24"/>
        </w:rPr>
        <w:t xml:space="preserve"> et al 1992, François et al 1995, </w:t>
      </w:r>
      <w:proofErr w:type="spellStart"/>
      <w:r w:rsidRPr="00906F82">
        <w:rPr>
          <w:rFonts w:ascii="Times New Roman" w:eastAsia="Times New Roman" w:hAnsi="Times New Roman" w:cs="Times New Roman"/>
          <w:sz w:val="24"/>
          <w:szCs w:val="24"/>
        </w:rPr>
        <w:t>Paytan</w:t>
      </w:r>
      <w:proofErr w:type="spellEnd"/>
      <w:r w:rsidRPr="00906F82">
        <w:rPr>
          <w:rFonts w:ascii="Times New Roman" w:eastAsia="Times New Roman" w:hAnsi="Times New Roman" w:cs="Times New Roman"/>
          <w:sz w:val="24"/>
          <w:szCs w:val="24"/>
        </w:rPr>
        <w:t xml:space="preserve"> et al 1996, </w:t>
      </w:r>
      <w:proofErr w:type="spellStart"/>
      <w:r w:rsidRPr="00906F82">
        <w:rPr>
          <w:rFonts w:ascii="Times New Roman" w:eastAsia="Times New Roman" w:hAnsi="Times New Roman" w:cs="Times New Roman"/>
          <w:sz w:val="24"/>
          <w:szCs w:val="24"/>
        </w:rPr>
        <w:t>Jeandel</w:t>
      </w:r>
      <w:proofErr w:type="spellEnd"/>
      <w:r w:rsidRPr="00906F82">
        <w:rPr>
          <w:rFonts w:ascii="Times New Roman" w:eastAsia="Times New Roman" w:hAnsi="Times New Roman" w:cs="Times New Roman"/>
          <w:sz w:val="24"/>
          <w:szCs w:val="24"/>
        </w:rPr>
        <w:t xml:space="preserve"> et al 2000). But interpretations of barite abundance in sediments are hampered by the absence of a fundamental understanding of the mechanisms producing marine barite.</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 xml:space="preserve">It is generally agreed that barite is undersaturated in the upper water column (except at some locations in the Southern Ocean; Monnin et al 1999, </w:t>
      </w:r>
      <w:proofErr w:type="spellStart"/>
      <w:r w:rsidRPr="00906F82">
        <w:rPr>
          <w:rFonts w:ascii="Times New Roman" w:eastAsia="Times New Roman" w:hAnsi="Times New Roman" w:cs="Times New Roman"/>
          <w:sz w:val="24"/>
          <w:szCs w:val="24"/>
        </w:rPr>
        <w:t>Rushdi</w:t>
      </w:r>
      <w:proofErr w:type="spellEnd"/>
      <w:r w:rsidRPr="00906F82">
        <w:rPr>
          <w:rFonts w:ascii="Times New Roman" w:eastAsia="Times New Roman" w:hAnsi="Times New Roman" w:cs="Times New Roman"/>
          <w:sz w:val="24"/>
          <w:szCs w:val="24"/>
        </w:rPr>
        <w:t xml:space="preserve"> et al 2000), where it is assumed to form (</w:t>
      </w:r>
      <w:proofErr w:type="spellStart"/>
      <w:r w:rsidRPr="00906F82">
        <w:rPr>
          <w:rFonts w:ascii="Times New Roman" w:eastAsia="Times New Roman" w:hAnsi="Times New Roman" w:cs="Times New Roman"/>
          <w:sz w:val="24"/>
          <w:szCs w:val="24"/>
        </w:rPr>
        <w:t>Legeleux</w:t>
      </w:r>
      <w:proofErr w:type="spellEnd"/>
      <w:r w:rsidRPr="00906F82">
        <w:rPr>
          <w:rFonts w:ascii="Times New Roman" w:eastAsia="Times New Roman" w:hAnsi="Times New Roman" w:cs="Times New Roman"/>
          <w:sz w:val="24"/>
          <w:szCs w:val="24"/>
        </w:rPr>
        <w:t xml:space="preserve"> and </w:t>
      </w:r>
      <w:proofErr w:type="spellStart"/>
      <w:r w:rsidRPr="00906F82">
        <w:rPr>
          <w:rFonts w:ascii="Times New Roman" w:eastAsia="Times New Roman" w:hAnsi="Times New Roman" w:cs="Times New Roman"/>
          <w:sz w:val="24"/>
          <w:szCs w:val="24"/>
        </w:rPr>
        <w:t>Reyss</w:t>
      </w:r>
      <w:proofErr w:type="spellEnd"/>
      <w:r w:rsidRPr="00906F82">
        <w:rPr>
          <w:rFonts w:ascii="Times New Roman" w:eastAsia="Times New Roman" w:hAnsi="Times New Roman" w:cs="Times New Roman"/>
          <w:sz w:val="24"/>
          <w:szCs w:val="24"/>
        </w:rPr>
        <w:t xml:space="preserve">, 1996), and that its precipitation is the direct or indirect result of biologic activity. Some benthic and freshwater organisms are known to precipitate barite (Arrhenius and Bonatti 1965, </w:t>
      </w:r>
      <w:proofErr w:type="spellStart"/>
      <w:r w:rsidRPr="00906F82">
        <w:rPr>
          <w:rFonts w:ascii="Times New Roman" w:eastAsia="Times New Roman" w:hAnsi="Times New Roman" w:cs="Times New Roman"/>
          <w:sz w:val="24"/>
          <w:szCs w:val="24"/>
        </w:rPr>
        <w:t>Tendal</w:t>
      </w:r>
      <w:proofErr w:type="spellEnd"/>
      <w:r w:rsidRPr="00906F82">
        <w:rPr>
          <w:rFonts w:ascii="Times New Roman" w:eastAsia="Times New Roman" w:hAnsi="Times New Roman" w:cs="Times New Roman"/>
          <w:sz w:val="24"/>
          <w:szCs w:val="24"/>
        </w:rPr>
        <w:t xml:space="preserve"> 1972, Bertram and Cowen 1997). However, since no such pelagic marine organism has ever been identified, the most commonly accepted hypothesis is that barite forms as a result of passive precipitation through enrichment of sulfate and/or barium in decomposing organic material (Chow and Goldberg 1960, Dehairs et al 1980, Bishop 1988, Bernstein et al 1992, </w:t>
      </w:r>
      <w:proofErr w:type="spellStart"/>
      <w:r w:rsidRPr="00906F82">
        <w:rPr>
          <w:rFonts w:ascii="Times New Roman" w:eastAsia="Times New Roman" w:hAnsi="Times New Roman" w:cs="Times New Roman"/>
          <w:sz w:val="24"/>
          <w:szCs w:val="24"/>
        </w:rPr>
        <w:t>Jeandel</w:t>
      </w:r>
      <w:proofErr w:type="spellEnd"/>
      <w:r w:rsidRPr="00906F82">
        <w:rPr>
          <w:rFonts w:ascii="Times New Roman" w:eastAsia="Times New Roman" w:hAnsi="Times New Roman" w:cs="Times New Roman"/>
          <w:sz w:val="24"/>
          <w:szCs w:val="24"/>
        </w:rPr>
        <w:t xml:space="preserve"> et al 2000). According to Bernstein et al 1992, Bernstein et al 1998), barite formation may involve </w:t>
      </w:r>
      <w:proofErr w:type="spellStart"/>
      <w:r w:rsidRPr="00906F82">
        <w:rPr>
          <w:rFonts w:ascii="Times New Roman" w:eastAsia="Times New Roman" w:hAnsi="Times New Roman" w:cs="Times New Roman"/>
          <w:sz w:val="24"/>
          <w:szCs w:val="24"/>
        </w:rPr>
        <w:t>acantharians</w:t>
      </w:r>
      <w:proofErr w:type="spellEnd"/>
      <w:r w:rsidRPr="00906F82">
        <w:rPr>
          <w:rFonts w:ascii="Times New Roman" w:eastAsia="Times New Roman" w:hAnsi="Times New Roman" w:cs="Times New Roman"/>
          <w:sz w:val="24"/>
          <w:szCs w:val="24"/>
        </w:rPr>
        <w:t>. Their skeletons and cysts, made of celestite (SrSO</w:t>
      </w:r>
      <w:r w:rsidRPr="00906F82">
        <w:rPr>
          <w:rFonts w:ascii="Times New Roman" w:eastAsia="Times New Roman" w:hAnsi="Times New Roman" w:cs="Times New Roman"/>
          <w:sz w:val="24"/>
          <w:szCs w:val="24"/>
          <w:vertAlign w:val="subscript"/>
        </w:rPr>
        <w:t>4</w:t>
      </w:r>
      <w:r w:rsidRPr="00906F82">
        <w:rPr>
          <w:rFonts w:ascii="Times New Roman" w:eastAsia="Times New Roman" w:hAnsi="Times New Roman" w:cs="Times New Roman"/>
          <w:sz w:val="24"/>
          <w:szCs w:val="24"/>
        </w:rPr>
        <w:t xml:space="preserve">), are enriched in Ba compared to </w:t>
      </w:r>
      <w:r w:rsidRPr="00906F82">
        <w:rPr>
          <w:rFonts w:ascii="Times New Roman" w:eastAsia="Times New Roman" w:hAnsi="Times New Roman" w:cs="Times New Roman"/>
          <w:sz w:val="24"/>
          <w:szCs w:val="24"/>
        </w:rPr>
        <w:lastRenderedPageBreak/>
        <w:t xml:space="preserve">seawater and, when degrading and aggregating with other biogenic particles, release sulfate and barium into the flocs, thus possibly allowing barite precipitation. However, a recent study, in which a significant barium depletion was observed in surface waters off the Pacific coast of Baja California, without corresponding strontium depletion, argues against the role of </w:t>
      </w:r>
      <w:proofErr w:type="spellStart"/>
      <w:r w:rsidRPr="00906F82">
        <w:rPr>
          <w:rFonts w:ascii="Times New Roman" w:eastAsia="Times New Roman" w:hAnsi="Times New Roman" w:cs="Times New Roman"/>
          <w:sz w:val="24"/>
          <w:szCs w:val="24"/>
        </w:rPr>
        <w:t>acantharians</w:t>
      </w:r>
      <w:proofErr w:type="spellEnd"/>
      <w:r w:rsidRPr="00906F82">
        <w:rPr>
          <w:rFonts w:ascii="Times New Roman" w:eastAsia="Times New Roman" w:hAnsi="Times New Roman" w:cs="Times New Roman"/>
          <w:sz w:val="24"/>
          <w:szCs w:val="24"/>
        </w:rPr>
        <w:t xml:space="preserve"> as the primary source of biogenic barium (</w:t>
      </w:r>
      <w:proofErr w:type="spellStart"/>
      <w:r w:rsidRPr="00906F82">
        <w:rPr>
          <w:rFonts w:ascii="Times New Roman" w:eastAsia="Times New Roman" w:hAnsi="Times New Roman" w:cs="Times New Roman"/>
          <w:sz w:val="24"/>
          <w:szCs w:val="24"/>
        </w:rPr>
        <w:t>Esser</w:t>
      </w:r>
      <w:proofErr w:type="spellEnd"/>
      <w:r w:rsidRPr="00906F82">
        <w:rPr>
          <w:rFonts w:ascii="Times New Roman" w:eastAsia="Times New Roman" w:hAnsi="Times New Roman" w:cs="Times New Roman"/>
          <w:sz w:val="24"/>
          <w:szCs w:val="24"/>
        </w:rPr>
        <w:t xml:space="preserve"> and Volpe, 2002). Another hypothesis, based on </w:t>
      </w:r>
      <w:proofErr w:type="spellStart"/>
      <w:r w:rsidRPr="00906F82">
        <w:rPr>
          <w:rFonts w:ascii="Times New Roman" w:eastAsia="Times New Roman" w:hAnsi="Times New Roman" w:cs="Times New Roman"/>
          <w:sz w:val="24"/>
          <w:szCs w:val="24"/>
        </w:rPr>
        <w:t>Vinogradova</w:t>
      </w:r>
      <w:proofErr w:type="spellEnd"/>
      <w:r w:rsidRPr="00906F82">
        <w:rPr>
          <w:rFonts w:ascii="Times New Roman" w:eastAsia="Times New Roman" w:hAnsi="Times New Roman" w:cs="Times New Roman"/>
          <w:sz w:val="24"/>
          <w:szCs w:val="24"/>
        </w:rPr>
        <w:t xml:space="preserve"> and </w:t>
      </w:r>
      <w:proofErr w:type="spellStart"/>
      <w:r w:rsidRPr="00906F82">
        <w:rPr>
          <w:rFonts w:ascii="Times New Roman" w:eastAsia="Times New Roman" w:hAnsi="Times New Roman" w:cs="Times New Roman"/>
          <w:sz w:val="24"/>
          <w:szCs w:val="24"/>
        </w:rPr>
        <w:t>Koval’skiy’s</w:t>
      </w:r>
      <w:proofErr w:type="spellEnd"/>
      <w:r w:rsidRPr="00906F82">
        <w:rPr>
          <w:rFonts w:ascii="Times New Roman" w:eastAsia="Times New Roman" w:hAnsi="Times New Roman" w:cs="Times New Roman"/>
          <w:sz w:val="24"/>
          <w:szCs w:val="24"/>
        </w:rPr>
        <w:t xml:space="preserve"> (1962) work, is that diatoms accumulate enough Ba to induce barite formation during their decay (Bishop, 1988). The fair correlation between silicate and dissolved barium in the water column (Ku et al 1970, Bacon and Edmond 1972, </w:t>
      </w:r>
      <w:proofErr w:type="spellStart"/>
      <w:r w:rsidRPr="00906F82">
        <w:rPr>
          <w:rFonts w:ascii="Times New Roman" w:eastAsia="Times New Roman" w:hAnsi="Times New Roman" w:cs="Times New Roman"/>
          <w:sz w:val="24"/>
          <w:szCs w:val="24"/>
        </w:rPr>
        <w:t>Jeandel</w:t>
      </w:r>
      <w:proofErr w:type="spellEnd"/>
      <w:r w:rsidRPr="00906F82">
        <w:rPr>
          <w:rFonts w:ascii="Times New Roman" w:eastAsia="Times New Roman" w:hAnsi="Times New Roman" w:cs="Times New Roman"/>
          <w:sz w:val="24"/>
          <w:szCs w:val="24"/>
        </w:rPr>
        <w:t xml:space="preserve"> et al 1996, Monnin et al 1999) strengthens the hypothesis of a possible influence of diatoms on the Ba cycle.</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 xml:space="preserve">Few laboratory experiments have investigated the uptake of Ba by diatoms. Dehairs et al. (1980), as well as Fisher et al. (1991), observed Ba accumulation in the cells and proposed that most of it, if not all, was associated with the frustules. </w:t>
      </w:r>
      <w:proofErr w:type="spellStart"/>
      <w:r w:rsidRPr="00906F82">
        <w:rPr>
          <w:rFonts w:ascii="Times New Roman" w:eastAsia="Times New Roman" w:hAnsi="Times New Roman" w:cs="Times New Roman"/>
          <w:sz w:val="24"/>
          <w:szCs w:val="24"/>
        </w:rPr>
        <w:t>Ganeshram</w:t>
      </w:r>
      <w:proofErr w:type="spellEnd"/>
      <w:r w:rsidRPr="00906F82">
        <w:rPr>
          <w:rFonts w:ascii="Times New Roman" w:eastAsia="Times New Roman" w:hAnsi="Times New Roman" w:cs="Times New Roman"/>
          <w:sz w:val="24"/>
          <w:szCs w:val="24"/>
        </w:rPr>
        <w:t xml:space="preserve"> et al. (2003) found high Ba concentrations in phytoplankton from cultures and natural samples and showed that phytoplankton decomposition could be the source of barite in seawater. But none of the culture studies have used media with defined trace metal chemistry and the published results may have been affected by precipitation of barite and/or adsorption of Ba</w:t>
      </w:r>
      <w:r w:rsidRPr="00906F82">
        <w:rPr>
          <w:rFonts w:ascii="Times New Roman" w:eastAsia="Times New Roman" w:hAnsi="Times New Roman" w:cs="Times New Roman"/>
          <w:sz w:val="24"/>
          <w:szCs w:val="24"/>
          <w:vertAlign w:val="superscript"/>
        </w:rPr>
        <w:t>2+</w:t>
      </w:r>
      <w:r w:rsidRPr="00906F82">
        <w:rPr>
          <w:rFonts w:ascii="Times New Roman" w:eastAsia="Times New Roman" w:hAnsi="Times New Roman" w:cs="Times New Roman"/>
          <w:sz w:val="24"/>
          <w:szCs w:val="24"/>
        </w:rPr>
        <w:t xml:space="preserve"> on amorphous iron hydroxide precipitated in the medium. Here we report on the Ba accumulation in the model diatom </w:t>
      </w:r>
      <w:proofErr w:type="spellStart"/>
      <w:r w:rsidRPr="00906F82">
        <w:rPr>
          <w:rFonts w:ascii="Times New Roman" w:eastAsia="Times New Roman" w:hAnsi="Times New Roman" w:cs="Times New Roman"/>
          <w:i/>
          <w:iCs/>
          <w:sz w:val="24"/>
          <w:szCs w:val="24"/>
        </w:rPr>
        <w:t>Thalassiosira</w:t>
      </w:r>
      <w:proofErr w:type="spellEnd"/>
      <w:r w:rsidRPr="00906F82">
        <w:rPr>
          <w:rFonts w:ascii="Times New Roman" w:eastAsia="Times New Roman" w:hAnsi="Times New Roman" w:cs="Times New Roman"/>
          <w:i/>
          <w:iCs/>
          <w:sz w:val="24"/>
          <w:szCs w:val="24"/>
        </w:rPr>
        <w:t xml:space="preserve"> </w:t>
      </w:r>
      <w:proofErr w:type="spellStart"/>
      <w:r w:rsidRPr="00906F82">
        <w:rPr>
          <w:rFonts w:ascii="Times New Roman" w:eastAsia="Times New Roman" w:hAnsi="Times New Roman" w:cs="Times New Roman"/>
          <w:i/>
          <w:iCs/>
          <w:sz w:val="24"/>
          <w:szCs w:val="24"/>
        </w:rPr>
        <w:t>weissflogii</w:t>
      </w:r>
      <w:proofErr w:type="spellEnd"/>
      <w:r w:rsidRPr="00906F82">
        <w:rPr>
          <w:rFonts w:ascii="Times New Roman" w:eastAsia="Times New Roman" w:hAnsi="Times New Roman" w:cs="Times New Roman"/>
          <w:sz w:val="24"/>
          <w:szCs w:val="24"/>
        </w:rPr>
        <w:t xml:space="preserve"> under chemically well-defined culture conditions with particular attention to the formation of Fe hydroxide precipitates in the culture medium.</w:t>
      </w:r>
    </w:p>
    <w:p w:rsidR="00906F82" w:rsidRPr="00906F82" w:rsidRDefault="00906F82" w:rsidP="00906F82">
      <w:pPr>
        <w:spacing w:before="100" w:beforeAutospacing="1" w:after="100" w:afterAutospacing="1" w:line="240" w:lineRule="auto"/>
        <w:outlineLvl w:val="1"/>
        <w:rPr>
          <w:rFonts w:ascii="Times New Roman" w:eastAsia="Times New Roman" w:hAnsi="Times New Roman" w:cs="Times New Roman"/>
          <w:b/>
          <w:bCs/>
          <w:sz w:val="36"/>
          <w:szCs w:val="36"/>
        </w:rPr>
      </w:pPr>
      <w:r w:rsidRPr="00906F82">
        <w:rPr>
          <w:rFonts w:ascii="Times New Roman" w:eastAsia="Times New Roman" w:hAnsi="Times New Roman" w:cs="Times New Roman"/>
          <w:b/>
          <w:bCs/>
          <w:sz w:val="36"/>
          <w:szCs w:val="36"/>
        </w:rPr>
        <w:t>Section snippets</w:t>
      </w:r>
    </w:p>
    <w:p w:rsidR="00906F82" w:rsidRPr="00906F82" w:rsidRDefault="00906F82" w:rsidP="00906F82">
      <w:pPr>
        <w:spacing w:before="100" w:beforeAutospacing="1" w:after="100" w:afterAutospacing="1" w:line="240" w:lineRule="auto"/>
        <w:outlineLvl w:val="1"/>
        <w:rPr>
          <w:rFonts w:ascii="Times New Roman" w:eastAsia="Times New Roman" w:hAnsi="Times New Roman" w:cs="Times New Roman"/>
          <w:b/>
          <w:bCs/>
          <w:sz w:val="36"/>
          <w:szCs w:val="36"/>
        </w:rPr>
      </w:pPr>
      <w:r w:rsidRPr="00906F82">
        <w:rPr>
          <w:rFonts w:ascii="Times New Roman" w:eastAsia="Times New Roman" w:hAnsi="Times New Roman" w:cs="Times New Roman"/>
          <w:b/>
          <w:bCs/>
          <w:sz w:val="36"/>
          <w:szCs w:val="36"/>
        </w:rPr>
        <w:t>Phytoplankton and Culture Medium</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 xml:space="preserve">Stock cultures of the marine diatom </w:t>
      </w:r>
      <w:proofErr w:type="spellStart"/>
      <w:r w:rsidRPr="00906F82">
        <w:rPr>
          <w:rFonts w:ascii="Times New Roman" w:eastAsia="Times New Roman" w:hAnsi="Times New Roman" w:cs="Times New Roman"/>
          <w:i/>
          <w:iCs/>
          <w:sz w:val="24"/>
          <w:szCs w:val="24"/>
        </w:rPr>
        <w:t>Thalassiosira</w:t>
      </w:r>
      <w:proofErr w:type="spellEnd"/>
      <w:r w:rsidRPr="00906F82">
        <w:rPr>
          <w:rFonts w:ascii="Times New Roman" w:eastAsia="Times New Roman" w:hAnsi="Times New Roman" w:cs="Times New Roman"/>
          <w:i/>
          <w:iCs/>
          <w:sz w:val="24"/>
          <w:szCs w:val="24"/>
        </w:rPr>
        <w:t xml:space="preserve"> </w:t>
      </w:r>
      <w:proofErr w:type="spellStart"/>
      <w:r w:rsidRPr="00906F82">
        <w:rPr>
          <w:rFonts w:ascii="Times New Roman" w:eastAsia="Times New Roman" w:hAnsi="Times New Roman" w:cs="Times New Roman"/>
          <w:i/>
          <w:iCs/>
          <w:sz w:val="24"/>
          <w:szCs w:val="24"/>
        </w:rPr>
        <w:t>weissflogii</w:t>
      </w:r>
      <w:proofErr w:type="spellEnd"/>
      <w:r w:rsidRPr="00906F82">
        <w:rPr>
          <w:rFonts w:ascii="Times New Roman" w:eastAsia="Times New Roman" w:hAnsi="Times New Roman" w:cs="Times New Roman"/>
          <w:sz w:val="24"/>
          <w:szCs w:val="24"/>
        </w:rPr>
        <w:t xml:space="preserve">, CCMP 1336 (CCMP, Bigelow, Maine, USA), were maintained in polycarbonate bottles under continuous fluorescent light (150 </w:t>
      </w:r>
      <w:proofErr w:type="spellStart"/>
      <w:r w:rsidRPr="00906F82">
        <w:rPr>
          <w:rFonts w:ascii="Times New Roman" w:eastAsia="Times New Roman" w:hAnsi="Times New Roman" w:cs="Times New Roman"/>
          <w:sz w:val="24"/>
          <w:szCs w:val="24"/>
        </w:rPr>
        <w:t>μmol</w:t>
      </w:r>
      <w:proofErr w:type="spellEnd"/>
      <w:r w:rsidRPr="00906F82">
        <w:rPr>
          <w:rFonts w:ascii="Times New Roman" w:eastAsia="Times New Roman" w:hAnsi="Times New Roman" w:cs="Times New Roman"/>
          <w:sz w:val="24"/>
          <w:szCs w:val="24"/>
        </w:rPr>
        <w:t xml:space="preserve"> photons m</w:t>
      </w:r>
      <w:r w:rsidRPr="00906F82">
        <w:rPr>
          <w:rFonts w:ascii="Times New Roman" w:eastAsia="Times New Roman" w:hAnsi="Times New Roman" w:cs="Times New Roman"/>
          <w:sz w:val="24"/>
          <w:szCs w:val="24"/>
          <w:vertAlign w:val="superscript"/>
        </w:rPr>
        <w:t>−2</w:t>
      </w:r>
      <w:r w:rsidRPr="00906F82">
        <w:rPr>
          <w:rFonts w:ascii="Times New Roman" w:eastAsia="Times New Roman" w:hAnsi="Times New Roman" w:cs="Times New Roman"/>
          <w:sz w:val="24"/>
          <w:szCs w:val="24"/>
        </w:rPr>
        <w:t xml:space="preserve"> s</w:t>
      </w:r>
      <w:r w:rsidRPr="00906F82">
        <w:rPr>
          <w:rFonts w:ascii="Times New Roman" w:eastAsia="Times New Roman" w:hAnsi="Times New Roman" w:cs="Times New Roman"/>
          <w:sz w:val="24"/>
          <w:szCs w:val="24"/>
          <w:vertAlign w:val="superscript"/>
        </w:rPr>
        <w:t>−1</w:t>
      </w:r>
      <w:r w:rsidRPr="00906F82">
        <w:rPr>
          <w:rFonts w:ascii="Times New Roman" w:eastAsia="Times New Roman" w:hAnsi="Times New Roman" w:cs="Times New Roman"/>
          <w:sz w:val="24"/>
          <w:szCs w:val="24"/>
        </w:rPr>
        <w:t>) at 20°C. Although we sterilized the medium, cultures were not axenic, but the bacteria accounted for a negligible fraction of the biomass.</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i/>
          <w:iCs/>
          <w:sz w:val="24"/>
          <w:szCs w:val="24"/>
        </w:rPr>
        <w:t xml:space="preserve">T. </w:t>
      </w:r>
      <w:proofErr w:type="spellStart"/>
      <w:r w:rsidRPr="00906F82">
        <w:rPr>
          <w:rFonts w:ascii="Times New Roman" w:eastAsia="Times New Roman" w:hAnsi="Times New Roman" w:cs="Times New Roman"/>
          <w:i/>
          <w:iCs/>
          <w:sz w:val="24"/>
          <w:szCs w:val="24"/>
        </w:rPr>
        <w:t>weissflogii</w:t>
      </w:r>
      <w:proofErr w:type="spellEnd"/>
      <w:r w:rsidRPr="00906F82">
        <w:rPr>
          <w:rFonts w:ascii="Times New Roman" w:eastAsia="Times New Roman" w:hAnsi="Times New Roman" w:cs="Times New Roman"/>
          <w:sz w:val="24"/>
          <w:szCs w:val="24"/>
        </w:rPr>
        <w:t xml:space="preserve"> was grown in a medium enriched with filter-sterilized nutrients, vitamins and trace metals (Table 1) based on the </w:t>
      </w:r>
      <w:proofErr w:type="spellStart"/>
      <w:r w:rsidRPr="00906F82">
        <w:rPr>
          <w:rFonts w:ascii="Times New Roman" w:eastAsia="Times New Roman" w:hAnsi="Times New Roman" w:cs="Times New Roman"/>
          <w:sz w:val="24"/>
          <w:szCs w:val="24"/>
        </w:rPr>
        <w:t>Aquil</w:t>
      </w:r>
      <w:proofErr w:type="spellEnd"/>
      <w:r w:rsidRPr="00906F82">
        <w:rPr>
          <w:rFonts w:ascii="Times New Roman" w:eastAsia="Times New Roman" w:hAnsi="Times New Roman" w:cs="Times New Roman"/>
          <w:sz w:val="24"/>
          <w:szCs w:val="24"/>
        </w:rPr>
        <w:t xml:space="preserve"> recipe from Price et</w:t>
      </w:r>
    </w:p>
    <w:p w:rsidR="00906F82" w:rsidRPr="00906F82" w:rsidRDefault="00906F82" w:rsidP="00906F82">
      <w:pPr>
        <w:spacing w:before="100" w:beforeAutospacing="1" w:after="100" w:afterAutospacing="1" w:line="240" w:lineRule="auto"/>
        <w:outlineLvl w:val="1"/>
        <w:rPr>
          <w:rFonts w:ascii="Times New Roman" w:eastAsia="Times New Roman" w:hAnsi="Times New Roman" w:cs="Times New Roman"/>
          <w:b/>
          <w:bCs/>
          <w:sz w:val="36"/>
          <w:szCs w:val="36"/>
        </w:rPr>
      </w:pPr>
      <w:r w:rsidRPr="00906F82">
        <w:rPr>
          <w:rFonts w:ascii="Times New Roman" w:eastAsia="Times New Roman" w:hAnsi="Times New Roman" w:cs="Times New Roman"/>
          <w:b/>
          <w:bCs/>
          <w:sz w:val="36"/>
          <w:szCs w:val="36"/>
        </w:rPr>
        <w:t>Results</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In a first set of experiments, we measured the cellular accumulation of Ba as a function of external Ba concentration in the presence of a total Fe concentration in the medium of 420 nmol/L (Fig. 1). The cellular quotas are reported as Ba/P (mol/mol) ratios based on simultaneous Ba and P measurements.</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The measured cellular barium quotas are proportional to the Ba concentration in the medium (Table 2, Fig. 1). These quotas are also much lower than all previous data on Ba concentrations in</w:t>
      </w:r>
    </w:p>
    <w:p w:rsidR="00906F82" w:rsidRPr="00906F82" w:rsidRDefault="00906F82" w:rsidP="00906F82">
      <w:pPr>
        <w:spacing w:before="100" w:beforeAutospacing="1" w:after="100" w:afterAutospacing="1" w:line="240" w:lineRule="auto"/>
        <w:outlineLvl w:val="1"/>
        <w:rPr>
          <w:rFonts w:ascii="Times New Roman" w:eastAsia="Times New Roman" w:hAnsi="Times New Roman" w:cs="Times New Roman"/>
          <w:b/>
          <w:bCs/>
          <w:sz w:val="36"/>
          <w:szCs w:val="36"/>
        </w:rPr>
      </w:pPr>
      <w:r w:rsidRPr="00906F82">
        <w:rPr>
          <w:rFonts w:ascii="Times New Roman" w:eastAsia="Times New Roman" w:hAnsi="Times New Roman" w:cs="Times New Roman"/>
          <w:b/>
          <w:bCs/>
          <w:sz w:val="36"/>
          <w:szCs w:val="36"/>
        </w:rPr>
        <w:t>Discussion</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 xml:space="preserve">Our experimental data indicate that the diatom </w:t>
      </w:r>
      <w:r w:rsidRPr="00906F82">
        <w:rPr>
          <w:rFonts w:ascii="Times New Roman" w:eastAsia="Times New Roman" w:hAnsi="Times New Roman" w:cs="Times New Roman"/>
          <w:i/>
          <w:iCs/>
          <w:sz w:val="24"/>
          <w:szCs w:val="24"/>
        </w:rPr>
        <w:t xml:space="preserve">T. </w:t>
      </w:r>
      <w:proofErr w:type="spellStart"/>
      <w:r w:rsidRPr="00906F82">
        <w:rPr>
          <w:rFonts w:ascii="Times New Roman" w:eastAsia="Times New Roman" w:hAnsi="Times New Roman" w:cs="Times New Roman"/>
          <w:i/>
          <w:iCs/>
          <w:sz w:val="24"/>
          <w:szCs w:val="24"/>
        </w:rPr>
        <w:t>weissflogii</w:t>
      </w:r>
      <w:proofErr w:type="spellEnd"/>
      <w:r w:rsidRPr="00906F82">
        <w:rPr>
          <w:rFonts w:ascii="Times New Roman" w:eastAsia="Times New Roman" w:hAnsi="Times New Roman" w:cs="Times New Roman"/>
          <w:sz w:val="24"/>
          <w:szCs w:val="24"/>
        </w:rPr>
        <w:t xml:space="preserve"> takes up very little Ba intracellularly, but that a relatively large amount of Ba becomes adsorbed on the hydrous ferric oxide (</w:t>
      </w:r>
      <w:proofErr w:type="spellStart"/>
      <w:r w:rsidRPr="00906F82">
        <w:rPr>
          <w:rFonts w:ascii="Times New Roman" w:eastAsia="Times New Roman" w:hAnsi="Times New Roman" w:cs="Times New Roman"/>
          <w:sz w:val="24"/>
          <w:szCs w:val="24"/>
        </w:rPr>
        <w:t>FeO</w:t>
      </w:r>
      <w:r w:rsidRPr="00906F82">
        <w:rPr>
          <w:rFonts w:ascii="Times New Roman" w:eastAsia="Times New Roman" w:hAnsi="Times New Roman" w:cs="Times New Roman"/>
          <w:sz w:val="24"/>
          <w:szCs w:val="24"/>
          <w:vertAlign w:val="subscript"/>
        </w:rPr>
        <w:t>x</w:t>
      </w:r>
      <w:proofErr w:type="spellEnd"/>
      <w:r w:rsidRPr="00906F82">
        <w:rPr>
          <w:rFonts w:ascii="Times New Roman" w:eastAsia="Times New Roman" w:hAnsi="Times New Roman" w:cs="Times New Roman"/>
          <w:sz w:val="24"/>
          <w:szCs w:val="24"/>
        </w:rPr>
        <w:t xml:space="preserve">) that is </w:t>
      </w:r>
      <w:r w:rsidRPr="00906F82">
        <w:rPr>
          <w:rFonts w:ascii="Times New Roman" w:eastAsia="Times New Roman" w:hAnsi="Times New Roman" w:cs="Times New Roman"/>
          <w:sz w:val="24"/>
          <w:szCs w:val="24"/>
        </w:rPr>
        <w:lastRenderedPageBreak/>
        <w:t>associated with the cell surface. Three questions are raised by this result: (1) Is the result consistent with previously published data? (2) How significant is Ba uptake by the diatom and does it matter physiologically? (3) What are the roles of Ba uptake and adsorption on oxides in Ba</w:t>
      </w:r>
    </w:p>
    <w:p w:rsidR="00906F82" w:rsidRPr="00906F82" w:rsidRDefault="00906F82" w:rsidP="00906F82">
      <w:pPr>
        <w:spacing w:before="100" w:beforeAutospacing="1" w:after="100" w:afterAutospacing="1" w:line="240" w:lineRule="auto"/>
        <w:outlineLvl w:val="1"/>
        <w:rPr>
          <w:rFonts w:ascii="Times New Roman" w:eastAsia="Times New Roman" w:hAnsi="Times New Roman" w:cs="Times New Roman"/>
          <w:b/>
          <w:bCs/>
          <w:sz w:val="36"/>
          <w:szCs w:val="36"/>
        </w:rPr>
      </w:pPr>
      <w:r w:rsidRPr="00906F82">
        <w:rPr>
          <w:rFonts w:ascii="Times New Roman" w:eastAsia="Times New Roman" w:hAnsi="Times New Roman" w:cs="Times New Roman"/>
          <w:b/>
          <w:bCs/>
          <w:sz w:val="36"/>
          <w:szCs w:val="36"/>
        </w:rPr>
        <w:t>Acknowledgments</w:t>
      </w:r>
    </w:p>
    <w:p w:rsidR="00906F82" w:rsidRPr="00906F82" w:rsidRDefault="00906F82" w:rsidP="00906F82">
      <w:pPr>
        <w:spacing w:before="100" w:beforeAutospacing="1" w:after="100" w:afterAutospacing="1" w:line="240" w:lineRule="auto"/>
        <w:rPr>
          <w:rFonts w:ascii="Times New Roman" w:eastAsia="Times New Roman" w:hAnsi="Times New Roman" w:cs="Times New Roman"/>
          <w:sz w:val="24"/>
          <w:szCs w:val="24"/>
        </w:rPr>
      </w:pPr>
      <w:r w:rsidRPr="00906F82">
        <w:rPr>
          <w:rFonts w:ascii="Times New Roman" w:eastAsia="Times New Roman" w:hAnsi="Times New Roman" w:cs="Times New Roman"/>
          <w:sz w:val="24"/>
          <w:szCs w:val="24"/>
        </w:rPr>
        <w:t xml:space="preserve">We would like to thank Allen Milligan, </w:t>
      </w:r>
      <w:proofErr w:type="spellStart"/>
      <w:r w:rsidRPr="00906F82">
        <w:rPr>
          <w:rFonts w:ascii="Times New Roman" w:eastAsia="Times New Roman" w:hAnsi="Times New Roman" w:cs="Times New Roman"/>
          <w:sz w:val="24"/>
          <w:szCs w:val="24"/>
        </w:rPr>
        <w:t>Mak</w:t>
      </w:r>
      <w:proofErr w:type="spellEnd"/>
      <w:r w:rsidRPr="00906F82">
        <w:rPr>
          <w:rFonts w:ascii="Times New Roman" w:eastAsia="Times New Roman" w:hAnsi="Times New Roman" w:cs="Times New Roman"/>
          <w:sz w:val="24"/>
          <w:szCs w:val="24"/>
        </w:rPr>
        <w:t xml:space="preserve"> Saito and Irene </w:t>
      </w:r>
      <w:proofErr w:type="spellStart"/>
      <w:r w:rsidRPr="00906F82">
        <w:rPr>
          <w:rFonts w:ascii="Times New Roman" w:eastAsia="Times New Roman" w:hAnsi="Times New Roman" w:cs="Times New Roman"/>
          <w:sz w:val="24"/>
          <w:szCs w:val="24"/>
        </w:rPr>
        <w:t>Schaperdoth</w:t>
      </w:r>
      <w:proofErr w:type="spellEnd"/>
      <w:r w:rsidRPr="00906F82">
        <w:rPr>
          <w:rFonts w:ascii="Times New Roman" w:eastAsia="Times New Roman" w:hAnsi="Times New Roman" w:cs="Times New Roman"/>
          <w:sz w:val="24"/>
          <w:szCs w:val="24"/>
        </w:rPr>
        <w:t xml:space="preserve"> for their valuable advice and technical help. Financial support from the Chemical Oceanography Program of NSF and through the NFS-funded Center for Environmental Bioinorganic Chemistry is gratefully acknowledged.</w:t>
      </w:r>
    </w:p>
    <w:p w:rsidR="008D29E4" w:rsidRDefault="008D29E4"/>
    <w:sectPr w:rsidR="008D29E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F82"/>
    <w:rsid w:val="008D29E4"/>
    <w:rsid w:val="00906F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F6E9D"/>
  <w15:chartTrackingRefBased/>
  <w15:docId w15:val="{ACC57FF3-8E90-4BDD-9263-A941057AC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56655302">
      <w:bodyDiv w:val="1"/>
      <w:marLeft w:val="0"/>
      <w:marRight w:val="0"/>
      <w:marTop w:val="0"/>
      <w:marBottom w:val="0"/>
      <w:divBdr>
        <w:top w:val="none" w:sz="0" w:space="0" w:color="auto"/>
        <w:left w:val="none" w:sz="0" w:space="0" w:color="auto"/>
        <w:bottom w:val="none" w:sz="0" w:space="0" w:color="auto"/>
        <w:right w:val="none" w:sz="0" w:space="0" w:color="auto"/>
      </w:divBdr>
      <w:divsChild>
        <w:div w:id="1663503630">
          <w:marLeft w:val="0"/>
          <w:marRight w:val="0"/>
          <w:marTop w:val="0"/>
          <w:marBottom w:val="0"/>
          <w:divBdr>
            <w:top w:val="none" w:sz="0" w:space="0" w:color="auto"/>
            <w:left w:val="none" w:sz="0" w:space="0" w:color="auto"/>
            <w:bottom w:val="none" w:sz="0" w:space="0" w:color="auto"/>
            <w:right w:val="none" w:sz="0" w:space="0" w:color="auto"/>
          </w:divBdr>
          <w:divsChild>
            <w:div w:id="955871009">
              <w:marLeft w:val="0"/>
              <w:marRight w:val="0"/>
              <w:marTop w:val="0"/>
              <w:marBottom w:val="0"/>
              <w:divBdr>
                <w:top w:val="none" w:sz="0" w:space="0" w:color="auto"/>
                <w:left w:val="none" w:sz="0" w:space="0" w:color="auto"/>
                <w:bottom w:val="none" w:sz="0" w:space="0" w:color="auto"/>
                <w:right w:val="none" w:sz="0" w:space="0" w:color="auto"/>
              </w:divBdr>
              <w:divsChild>
                <w:div w:id="763190767">
                  <w:marLeft w:val="0"/>
                  <w:marRight w:val="0"/>
                  <w:marTop w:val="0"/>
                  <w:marBottom w:val="0"/>
                  <w:divBdr>
                    <w:top w:val="none" w:sz="0" w:space="0" w:color="auto"/>
                    <w:left w:val="none" w:sz="0" w:space="0" w:color="auto"/>
                    <w:bottom w:val="none" w:sz="0" w:space="0" w:color="auto"/>
                    <w:right w:val="none" w:sz="0" w:space="0" w:color="auto"/>
                  </w:divBdr>
                  <w:divsChild>
                    <w:div w:id="748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418344">
          <w:marLeft w:val="0"/>
          <w:marRight w:val="0"/>
          <w:marTop w:val="0"/>
          <w:marBottom w:val="0"/>
          <w:divBdr>
            <w:top w:val="none" w:sz="0" w:space="0" w:color="auto"/>
            <w:left w:val="none" w:sz="0" w:space="0" w:color="auto"/>
            <w:bottom w:val="none" w:sz="0" w:space="0" w:color="auto"/>
            <w:right w:val="none" w:sz="0" w:space="0" w:color="auto"/>
          </w:divBdr>
          <w:divsChild>
            <w:div w:id="1919561534">
              <w:marLeft w:val="0"/>
              <w:marRight w:val="0"/>
              <w:marTop w:val="0"/>
              <w:marBottom w:val="0"/>
              <w:divBdr>
                <w:top w:val="none" w:sz="0" w:space="0" w:color="auto"/>
                <w:left w:val="none" w:sz="0" w:space="0" w:color="auto"/>
                <w:bottom w:val="none" w:sz="0" w:space="0" w:color="auto"/>
                <w:right w:val="none" w:sz="0" w:space="0" w:color="auto"/>
              </w:divBdr>
              <w:divsChild>
                <w:div w:id="1416322124">
                  <w:marLeft w:val="0"/>
                  <w:marRight w:val="0"/>
                  <w:marTop w:val="0"/>
                  <w:marBottom w:val="0"/>
                  <w:divBdr>
                    <w:top w:val="none" w:sz="0" w:space="0" w:color="auto"/>
                    <w:left w:val="none" w:sz="0" w:space="0" w:color="auto"/>
                    <w:bottom w:val="none" w:sz="0" w:space="0" w:color="auto"/>
                    <w:right w:val="none" w:sz="0" w:space="0" w:color="auto"/>
                  </w:divBdr>
                  <w:divsChild>
                    <w:div w:id="130176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529139">
          <w:marLeft w:val="0"/>
          <w:marRight w:val="0"/>
          <w:marTop w:val="0"/>
          <w:marBottom w:val="0"/>
          <w:divBdr>
            <w:top w:val="none" w:sz="0" w:space="0" w:color="auto"/>
            <w:left w:val="none" w:sz="0" w:space="0" w:color="auto"/>
            <w:bottom w:val="none" w:sz="0" w:space="0" w:color="auto"/>
            <w:right w:val="none" w:sz="0" w:space="0" w:color="auto"/>
          </w:divBdr>
          <w:divsChild>
            <w:div w:id="1754473305">
              <w:marLeft w:val="0"/>
              <w:marRight w:val="0"/>
              <w:marTop w:val="0"/>
              <w:marBottom w:val="0"/>
              <w:divBdr>
                <w:top w:val="none" w:sz="0" w:space="0" w:color="auto"/>
                <w:left w:val="none" w:sz="0" w:space="0" w:color="auto"/>
                <w:bottom w:val="none" w:sz="0" w:space="0" w:color="auto"/>
                <w:right w:val="none" w:sz="0" w:space="0" w:color="auto"/>
              </w:divBdr>
            </w:div>
          </w:divsChild>
        </w:div>
        <w:div w:id="1922137840">
          <w:marLeft w:val="0"/>
          <w:marRight w:val="0"/>
          <w:marTop w:val="0"/>
          <w:marBottom w:val="0"/>
          <w:divBdr>
            <w:top w:val="none" w:sz="0" w:space="0" w:color="auto"/>
            <w:left w:val="none" w:sz="0" w:space="0" w:color="auto"/>
            <w:bottom w:val="none" w:sz="0" w:space="0" w:color="auto"/>
            <w:right w:val="none" w:sz="0" w:space="0" w:color="auto"/>
          </w:divBdr>
          <w:divsChild>
            <w:div w:id="1010713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phytoplankton" TargetMode="External"/><Relationship Id="rId5" Type="http://schemas.openxmlformats.org/officeDocument/2006/relationships/hyperlink" Target="https://www.sciencedirect.com/topics/earth-and-planetary-sciences/phytoplankton" TargetMode="External"/><Relationship Id="rId4" Type="http://schemas.openxmlformats.org/officeDocument/2006/relationships/hyperlink" Target="https://doi.org/10.1016/j.gca.2004.11.0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1123</Words>
  <Characters>6407</Characters>
  <Application>Microsoft Office Word</Application>
  <DocSecurity>0</DocSecurity>
  <Lines>53</Lines>
  <Paragraphs>15</Paragraphs>
  <ScaleCrop>false</ScaleCrop>
  <Company/>
  <LinksUpToDate>false</LinksUpToDate>
  <CharactersWithSpaces>7515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2023-11-18T09:22:00Z</dcterms:created>
  <dcterms:modified xsi:type="dcterms:W3CDTF">2023-11-18T09:22:00Z</dcterms:modified>
</cp:coreProperties>
</file>