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F102C" w:rsidRPr="00DF102C" w:rsidRDefault="00DF102C" w:rsidP="00DF102C">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DF102C">
        <w:rPr>
          <w:rFonts w:ascii="Times New Roman" w:eastAsia="Times New Roman" w:hAnsi="Times New Roman" w:cs="Times New Roman"/>
          <w:b/>
          <w:bCs/>
          <w:kern w:val="36"/>
          <w:sz w:val="48"/>
          <w:szCs w:val="48"/>
        </w:rPr>
        <w:t>Inverse methods for estimating primary input signals from time-averaged isotope profiles</w:t>
      </w:r>
    </w:p>
    <w:p w:rsidR="00DF102C" w:rsidRPr="00DF102C" w:rsidRDefault="00DF102C" w:rsidP="00DF102C">
      <w:pPr>
        <w:spacing w:after="0"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Author links open overlay panel</w:t>
      </w:r>
    </w:p>
    <w:p w:rsidR="00DF102C" w:rsidRPr="00DF102C" w:rsidRDefault="00DF102C" w:rsidP="00DF102C">
      <w:pPr>
        <w:spacing w:after="0"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 , , , , </w:t>
      </w:r>
    </w:p>
    <w:p w:rsidR="00DF102C" w:rsidRPr="00DF102C" w:rsidRDefault="00DF102C" w:rsidP="00DF102C">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DF102C">
          <w:rPr>
            <w:rFonts w:ascii="Times New Roman" w:eastAsia="Times New Roman" w:hAnsi="Times New Roman" w:cs="Times New Roman"/>
            <w:color w:val="0000FF"/>
            <w:sz w:val="24"/>
            <w:szCs w:val="24"/>
            <w:u w:val="single"/>
          </w:rPr>
          <w:t>https://doi.org/10.1016/j.gca.2004.12.002</w:t>
        </w:r>
      </w:hyperlink>
      <w:bookmarkStart w:id="0" w:name="_GoBack"/>
      <w:bookmarkEnd w:id="0"/>
      <w:r w:rsidRPr="00DF102C">
        <w:rPr>
          <w:rFonts w:ascii="Times New Roman" w:eastAsia="Times New Roman" w:hAnsi="Times New Roman" w:cs="Times New Roman"/>
          <w:sz w:val="24"/>
          <w:szCs w:val="24"/>
        </w:rPr>
        <w:t xml:space="preserve"> </w:t>
      </w:r>
    </w:p>
    <w:p w:rsidR="00DF102C" w:rsidRPr="00DF102C" w:rsidRDefault="00DF102C" w:rsidP="00DF102C">
      <w:pPr>
        <w:spacing w:before="100" w:beforeAutospacing="1" w:after="100" w:afterAutospacing="1" w:line="240" w:lineRule="auto"/>
        <w:outlineLvl w:val="1"/>
        <w:rPr>
          <w:rFonts w:ascii="Times New Roman" w:eastAsia="Times New Roman" w:hAnsi="Times New Roman" w:cs="Times New Roman"/>
          <w:b/>
          <w:bCs/>
          <w:sz w:val="36"/>
          <w:szCs w:val="36"/>
        </w:rPr>
      </w:pPr>
      <w:r w:rsidRPr="00DF102C">
        <w:rPr>
          <w:rFonts w:ascii="Times New Roman" w:eastAsia="Times New Roman" w:hAnsi="Times New Roman" w:cs="Times New Roman"/>
          <w:b/>
          <w:bCs/>
          <w:sz w:val="36"/>
          <w:szCs w:val="36"/>
        </w:rPr>
        <w:t>Abstract</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Mammalian teeth are invaluable archives of ancient </w:t>
      </w:r>
      <w:hyperlink r:id="rId5" w:tooltip="Learn more about seasonality from ScienceDirect's AI-generated Topic Pages" w:history="1">
        <w:r w:rsidRPr="00DF102C">
          <w:rPr>
            <w:rFonts w:ascii="Times New Roman" w:eastAsia="Times New Roman" w:hAnsi="Times New Roman" w:cs="Times New Roman"/>
            <w:color w:val="0000FF"/>
            <w:sz w:val="24"/>
            <w:szCs w:val="24"/>
            <w:u w:val="single"/>
          </w:rPr>
          <w:t>seasonality</w:t>
        </w:r>
      </w:hyperlink>
      <w:r w:rsidRPr="00DF102C">
        <w:rPr>
          <w:rFonts w:ascii="Times New Roman" w:eastAsia="Times New Roman" w:hAnsi="Times New Roman" w:cs="Times New Roman"/>
          <w:sz w:val="24"/>
          <w:szCs w:val="24"/>
        </w:rPr>
        <w:t xml:space="preserve"> because they record along their growth axes an isotopic record of temporal change in environment, plant diet, and animal behavior. A major problem with the intra-tooth method is that intra-tooth isotope profiles can be extremely time-averaged compared to the actual pattern of isotopic variation experienced by the animal during tooth formation. This time-averaging is a result of the temporal and spatial characteristics of amelogenesis (tooth enamel formation), and also results from laboratory sampling. This paper develops and evaluates an inverse method for reconstructing original input signals from time-averaged intra-tooth isotope profiles. The method requires that the temporal and spatial patterns of amelogenesis are known for the specific tooth and uses a minimum length solution of the </w:t>
      </w:r>
      <w:hyperlink r:id="rId6" w:tooltip="Learn more about linear system from ScienceDirect's AI-generated Topic Pages" w:history="1">
        <w:r w:rsidRPr="00DF102C">
          <w:rPr>
            <w:rFonts w:ascii="Times New Roman" w:eastAsia="Times New Roman" w:hAnsi="Times New Roman" w:cs="Times New Roman"/>
            <w:color w:val="0000FF"/>
            <w:sz w:val="24"/>
            <w:szCs w:val="24"/>
            <w:u w:val="single"/>
          </w:rPr>
          <w:t>linear system</w:t>
        </w:r>
      </w:hyperlink>
      <w:r w:rsidRPr="00DF102C">
        <w:rPr>
          <w:rFonts w:ascii="Times New Roman" w:eastAsia="Times New Roman" w:hAnsi="Times New Roman" w:cs="Times New Roman"/>
          <w:sz w:val="24"/>
          <w:szCs w:val="24"/>
        </w:rPr>
        <w:t xml:space="preserve"> </w:t>
      </w:r>
      <w:r w:rsidRPr="00DF102C">
        <w:rPr>
          <w:rFonts w:ascii="Times New Roman" w:eastAsia="Times New Roman" w:hAnsi="Times New Roman" w:cs="Times New Roman"/>
          <w:b/>
          <w:bCs/>
          <w:sz w:val="24"/>
          <w:szCs w:val="24"/>
        </w:rPr>
        <w:t>Am</w:t>
      </w:r>
      <w:r w:rsidRPr="00DF102C">
        <w:rPr>
          <w:rFonts w:ascii="Times New Roman" w:eastAsia="Times New Roman" w:hAnsi="Times New Roman" w:cs="Times New Roman"/>
          <w:sz w:val="24"/>
          <w:szCs w:val="24"/>
        </w:rPr>
        <w:t xml:space="preserve"> = </w:t>
      </w:r>
      <w:r w:rsidRPr="00DF102C">
        <w:rPr>
          <w:rFonts w:ascii="Times New Roman" w:eastAsia="Times New Roman" w:hAnsi="Times New Roman" w:cs="Times New Roman"/>
          <w:b/>
          <w:bCs/>
          <w:sz w:val="24"/>
          <w:szCs w:val="24"/>
        </w:rPr>
        <w:t>d</w:t>
      </w:r>
      <w:r w:rsidRPr="00DF102C">
        <w:rPr>
          <w:rFonts w:ascii="Times New Roman" w:eastAsia="Times New Roman" w:hAnsi="Times New Roman" w:cs="Times New Roman"/>
          <w:sz w:val="24"/>
          <w:szCs w:val="24"/>
        </w:rPr>
        <w:t xml:space="preserve">, where </w:t>
      </w:r>
      <w:r w:rsidRPr="00DF102C">
        <w:rPr>
          <w:rFonts w:ascii="Times New Roman" w:eastAsia="Times New Roman" w:hAnsi="Times New Roman" w:cs="Times New Roman"/>
          <w:b/>
          <w:bCs/>
          <w:sz w:val="24"/>
          <w:szCs w:val="24"/>
        </w:rPr>
        <w:t>d</w:t>
      </w:r>
      <w:r w:rsidRPr="00DF102C">
        <w:rPr>
          <w:rFonts w:ascii="Times New Roman" w:eastAsia="Times New Roman" w:hAnsi="Times New Roman" w:cs="Times New Roman"/>
          <w:sz w:val="24"/>
          <w:szCs w:val="24"/>
        </w:rPr>
        <w:t xml:space="preserve"> is the measured isotopic profile, </w:t>
      </w:r>
      <w:r w:rsidRPr="00DF102C">
        <w:rPr>
          <w:rFonts w:ascii="Times New Roman" w:eastAsia="Times New Roman" w:hAnsi="Times New Roman" w:cs="Times New Roman"/>
          <w:b/>
          <w:bCs/>
          <w:sz w:val="24"/>
          <w:szCs w:val="24"/>
        </w:rPr>
        <w:t>A</w:t>
      </w:r>
      <w:r w:rsidRPr="00DF102C">
        <w:rPr>
          <w:rFonts w:ascii="Times New Roman" w:eastAsia="Times New Roman" w:hAnsi="Times New Roman" w:cs="Times New Roman"/>
          <w:sz w:val="24"/>
          <w:szCs w:val="24"/>
        </w:rPr>
        <w:t xml:space="preserve"> is a matrix describing temporal and spatial averaging during amelogenesis and sampling, and </w:t>
      </w:r>
      <w:r w:rsidRPr="00DF102C">
        <w:rPr>
          <w:rFonts w:ascii="Times New Roman" w:eastAsia="Times New Roman" w:hAnsi="Times New Roman" w:cs="Times New Roman"/>
          <w:b/>
          <w:bCs/>
          <w:sz w:val="24"/>
          <w:szCs w:val="24"/>
        </w:rPr>
        <w:t>m</w:t>
      </w:r>
      <w:r w:rsidRPr="00DF102C">
        <w:rPr>
          <w:rFonts w:ascii="Times New Roman" w:eastAsia="Times New Roman" w:hAnsi="Times New Roman" w:cs="Times New Roman"/>
          <w:sz w:val="24"/>
          <w:szCs w:val="24"/>
        </w:rPr>
        <w:t xml:space="preserve"> is the input vector that is sought. Accuracy is dependent on several factors, including the total measurement error and the isotopic structure of the measured profile. The method is shown to accurately reconstruct known input signals for synthetic tooth enamel profiles and the known input signal for a rabbit that underwent controlled dietary changes. Application to carbon isotope profiles of modern hippopotamus canines reveals detailed dietary histories that are not apparent from the measured data alone. Inverse methods show promise as an effective means of dealing with the time-averaging problem in studies of intra-tooth isotopic variation.</w:t>
      </w:r>
    </w:p>
    <w:p w:rsidR="00DF102C" w:rsidRPr="00DF102C" w:rsidRDefault="00DF102C" w:rsidP="00DF102C">
      <w:pPr>
        <w:spacing w:before="100" w:beforeAutospacing="1" w:after="100" w:afterAutospacing="1" w:line="240" w:lineRule="auto"/>
        <w:outlineLvl w:val="1"/>
        <w:rPr>
          <w:rFonts w:ascii="Times New Roman" w:eastAsia="Times New Roman" w:hAnsi="Times New Roman" w:cs="Times New Roman"/>
          <w:b/>
          <w:bCs/>
          <w:sz w:val="36"/>
          <w:szCs w:val="36"/>
        </w:rPr>
      </w:pPr>
      <w:r w:rsidRPr="00DF102C">
        <w:rPr>
          <w:rFonts w:ascii="Times New Roman" w:eastAsia="Times New Roman" w:hAnsi="Times New Roman" w:cs="Times New Roman"/>
          <w:b/>
          <w:bCs/>
          <w:sz w:val="36"/>
          <w:szCs w:val="36"/>
        </w:rPr>
        <w:t>Introduction</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Intra-tooth isotope variation tracks seasonal patterns of isotope variation in animal systems (Koch et al 1989, Fricke and O’Neil 1996), and the study of such variation is becoming a fundamental tool for studying ancient seasonality in climate, ecology, and behavior (Fricke et al 1998, Kohn et al 1998, Fox and Fisher 2001, </w:t>
      </w:r>
      <w:proofErr w:type="spellStart"/>
      <w:r w:rsidRPr="00DF102C">
        <w:rPr>
          <w:rFonts w:ascii="Times New Roman" w:eastAsia="Times New Roman" w:hAnsi="Times New Roman" w:cs="Times New Roman"/>
          <w:sz w:val="24"/>
          <w:szCs w:val="24"/>
        </w:rPr>
        <w:t>Balasse</w:t>
      </w:r>
      <w:proofErr w:type="spellEnd"/>
      <w:r w:rsidRPr="00DF102C">
        <w:rPr>
          <w:rFonts w:ascii="Times New Roman" w:eastAsia="Times New Roman" w:hAnsi="Times New Roman" w:cs="Times New Roman"/>
          <w:sz w:val="24"/>
          <w:szCs w:val="24"/>
        </w:rPr>
        <w:t xml:space="preserve"> et al 2002, </w:t>
      </w:r>
      <w:proofErr w:type="spellStart"/>
      <w:r w:rsidRPr="00DF102C">
        <w:rPr>
          <w:rFonts w:ascii="Times New Roman" w:eastAsia="Times New Roman" w:hAnsi="Times New Roman" w:cs="Times New Roman"/>
          <w:sz w:val="24"/>
          <w:szCs w:val="24"/>
        </w:rPr>
        <w:t>Zazzo</w:t>
      </w:r>
      <w:proofErr w:type="spellEnd"/>
      <w:r w:rsidRPr="00DF102C">
        <w:rPr>
          <w:rFonts w:ascii="Times New Roman" w:eastAsia="Times New Roman" w:hAnsi="Times New Roman" w:cs="Times New Roman"/>
          <w:sz w:val="24"/>
          <w:szCs w:val="24"/>
        </w:rPr>
        <w:t xml:space="preserve"> et al 2002). The intra-tooth method involves sampling teeth along their growth axes; samples taken near the occlusal surface record an earlier portion of an animal’s life, those taken near the root record a later portion, and a series taken in between records isotopic variation in the animal for the duration of tooth formation. Already this method has led to a significant body of research in several fields: selected applications include the reconstruction of herd-management strategies of ancient pastoralists and seasonal environments in which ancient humans lived (</w:t>
      </w:r>
      <w:proofErr w:type="spellStart"/>
      <w:r w:rsidRPr="00DF102C">
        <w:rPr>
          <w:rFonts w:ascii="Times New Roman" w:eastAsia="Times New Roman" w:hAnsi="Times New Roman" w:cs="Times New Roman"/>
          <w:sz w:val="24"/>
          <w:szCs w:val="24"/>
        </w:rPr>
        <w:t>Balasse</w:t>
      </w:r>
      <w:proofErr w:type="spellEnd"/>
      <w:r w:rsidRPr="00DF102C">
        <w:rPr>
          <w:rFonts w:ascii="Times New Roman" w:eastAsia="Times New Roman" w:hAnsi="Times New Roman" w:cs="Times New Roman"/>
          <w:sz w:val="24"/>
          <w:szCs w:val="24"/>
        </w:rPr>
        <w:t xml:space="preserve"> et al., 2002), examination of cohort structure of fossil mammals (</w:t>
      </w:r>
      <w:proofErr w:type="spellStart"/>
      <w:r w:rsidRPr="00DF102C">
        <w:rPr>
          <w:rFonts w:ascii="Times New Roman" w:eastAsia="Times New Roman" w:hAnsi="Times New Roman" w:cs="Times New Roman"/>
          <w:sz w:val="24"/>
          <w:szCs w:val="24"/>
        </w:rPr>
        <w:t>Zazzo</w:t>
      </w:r>
      <w:proofErr w:type="spellEnd"/>
      <w:r w:rsidRPr="00DF102C">
        <w:rPr>
          <w:rFonts w:ascii="Times New Roman" w:eastAsia="Times New Roman" w:hAnsi="Times New Roman" w:cs="Times New Roman"/>
          <w:sz w:val="24"/>
          <w:szCs w:val="24"/>
        </w:rPr>
        <w:t xml:space="preserve"> et al., 2002), detection of seasonal dietary variation and migration in fossil mammals (Koch et al 1998, Hoppe et al 1999, </w:t>
      </w:r>
      <w:proofErr w:type="spellStart"/>
      <w:r w:rsidRPr="00DF102C">
        <w:rPr>
          <w:rFonts w:ascii="Times New Roman" w:eastAsia="Times New Roman" w:hAnsi="Times New Roman" w:cs="Times New Roman"/>
          <w:sz w:val="24"/>
          <w:szCs w:val="24"/>
        </w:rPr>
        <w:t>Gadbury</w:t>
      </w:r>
      <w:proofErr w:type="spellEnd"/>
      <w:r w:rsidRPr="00DF102C">
        <w:rPr>
          <w:rFonts w:ascii="Times New Roman" w:eastAsia="Times New Roman" w:hAnsi="Times New Roman" w:cs="Times New Roman"/>
          <w:sz w:val="24"/>
          <w:szCs w:val="24"/>
        </w:rPr>
        <w:t xml:space="preserve"> et al 2000, </w:t>
      </w:r>
      <w:proofErr w:type="spellStart"/>
      <w:r w:rsidRPr="00DF102C">
        <w:rPr>
          <w:rFonts w:ascii="Times New Roman" w:eastAsia="Times New Roman" w:hAnsi="Times New Roman" w:cs="Times New Roman"/>
          <w:sz w:val="24"/>
          <w:szCs w:val="24"/>
        </w:rPr>
        <w:t>Feranec</w:t>
      </w:r>
      <w:proofErr w:type="spellEnd"/>
      <w:r w:rsidRPr="00DF102C">
        <w:rPr>
          <w:rFonts w:ascii="Times New Roman" w:eastAsia="Times New Roman" w:hAnsi="Times New Roman" w:cs="Times New Roman"/>
          <w:sz w:val="24"/>
          <w:szCs w:val="24"/>
        </w:rPr>
        <w:t xml:space="preserve"> and </w:t>
      </w:r>
      <w:proofErr w:type="spellStart"/>
      <w:r w:rsidRPr="00DF102C">
        <w:rPr>
          <w:rFonts w:ascii="Times New Roman" w:eastAsia="Times New Roman" w:hAnsi="Times New Roman" w:cs="Times New Roman"/>
          <w:sz w:val="24"/>
          <w:szCs w:val="24"/>
        </w:rPr>
        <w:t>MacFadden</w:t>
      </w:r>
      <w:proofErr w:type="spellEnd"/>
      <w:r w:rsidRPr="00DF102C">
        <w:rPr>
          <w:rFonts w:ascii="Times New Roman" w:eastAsia="Times New Roman" w:hAnsi="Times New Roman" w:cs="Times New Roman"/>
          <w:sz w:val="24"/>
          <w:szCs w:val="24"/>
        </w:rPr>
        <w:t xml:space="preserve"> 2000), and estimation of oxygen isotope seasonality associated with climatic and tectonic change (Fricke et al 1998, Kohn et al 2002).</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lastRenderedPageBreak/>
        <w:t xml:space="preserve">It has recently become apparent, however, that intra-tooth isotope profiles in tooth enamel are time-averaged compared to the actual pattern of isotopic variation—the input signal—experienced by animals during tooth formation (Fox and Fisher 1998, </w:t>
      </w:r>
      <w:proofErr w:type="spellStart"/>
      <w:r w:rsidRPr="00DF102C">
        <w:rPr>
          <w:rFonts w:ascii="Times New Roman" w:eastAsia="Times New Roman" w:hAnsi="Times New Roman" w:cs="Times New Roman"/>
          <w:sz w:val="24"/>
          <w:szCs w:val="24"/>
        </w:rPr>
        <w:t>Balasse</w:t>
      </w:r>
      <w:proofErr w:type="spellEnd"/>
      <w:r w:rsidRPr="00DF102C">
        <w:rPr>
          <w:rFonts w:ascii="Times New Roman" w:eastAsia="Times New Roman" w:hAnsi="Times New Roman" w:cs="Times New Roman"/>
          <w:sz w:val="24"/>
          <w:szCs w:val="24"/>
        </w:rPr>
        <w:t xml:space="preserve"> 2002, </w:t>
      </w:r>
      <w:proofErr w:type="spellStart"/>
      <w:r w:rsidRPr="00DF102C">
        <w:rPr>
          <w:rFonts w:ascii="Times New Roman" w:eastAsia="Times New Roman" w:hAnsi="Times New Roman" w:cs="Times New Roman"/>
          <w:sz w:val="24"/>
          <w:szCs w:val="24"/>
        </w:rPr>
        <w:t>Passey</w:t>
      </w:r>
      <w:proofErr w:type="spellEnd"/>
      <w:r w:rsidRPr="00DF102C">
        <w:rPr>
          <w:rFonts w:ascii="Times New Roman" w:eastAsia="Times New Roman" w:hAnsi="Times New Roman" w:cs="Times New Roman"/>
          <w:sz w:val="24"/>
          <w:szCs w:val="24"/>
        </w:rPr>
        <w:t xml:space="preserve"> and </w:t>
      </w:r>
      <w:proofErr w:type="spellStart"/>
      <w:r w:rsidRPr="00DF102C">
        <w:rPr>
          <w:rFonts w:ascii="Times New Roman" w:eastAsia="Times New Roman" w:hAnsi="Times New Roman" w:cs="Times New Roman"/>
          <w:sz w:val="24"/>
          <w:szCs w:val="24"/>
        </w:rPr>
        <w:t>Cerling</w:t>
      </w:r>
      <w:proofErr w:type="spellEnd"/>
      <w:r w:rsidRPr="00DF102C">
        <w:rPr>
          <w:rFonts w:ascii="Times New Roman" w:eastAsia="Times New Roman" w:hAnsi="Times New Roman" w:cs="Times New Roman"/>
          <w:sz w:val="24"/>
          <w:szCs w:val="24"/>
        </w:rPr>
        <w:t xml:space="preserve"> 2002). Tooth enamel is the material of choice for isotopic studies of fossil mammals because of its resistance to isotopic alteration (Lee-Thorp and van der Merwe 1987, Quade et al 1992). It provides a time-averaged isotopic record because, during amelogenesis, each layer of enamel is deposited as a mineral poor matrix that gradually accumulates mineral over an extended period of time. Numerous studies of tooth enamel development in rats, pigs, steers, humans, and other animals show that the initial enamel matrix contains, by volume, a fraction (</w:t>
      </w:r>
      <w:r w:rsidRPr="00DF102C">
        <w:rPr>
          <w:rFonts w:ascii="Cambria Math" w:eastAsia="Times New Roman" w:hAnsi="Cambria Math" w:cs="Cambria Math"/>
          <w:sz w:val="24"/>
          <w:szCs w:val="24"/>
        </w:rPr>
        <w:t>∼</w:t>
      </w:r>
      <w:r w:rsidRPr="00DF102C">
        <w:rPr>
          <w:rFonts w:ascii="Times New Roman" w:eastAsia="Times New Roman" w:hAnsi="Times New Roman" w:cs="Times New Roman"/>
          <w:sz w:val="24"/>
          <w:szCs w:val="24"/>
        </w:rPr>
        <w:t xml:space="preserve">20–30%) of the total hydroxyapatite content of mature enamel, and that there is a spatial maturation zone along the growth axis of the tooth where the enamel accumulates the remaining mineral (Hiller et al 1975, Robinson et al 1978, Suga et al 1979, Deutsch and </w:t>
      </w:r>
      <w:proofErr w:type="spellStart"/>
      <w:r w:rsidRPr="00DF102C">
        <w:rPr>
          <w:rFonts w:ascii="Times New Roman" w:eastAsia="Times New Roman" w:hAnsi="Times New Roman" w:cs="Times New Roman"/>
          <w:sz w:val="24"/>
          <w:szCs w:val="24"/>
        </w:rPr>
        <w:t>Pe’er</w:t>
      </w:r>
      <w:proofErr w:type="spellEnd"/>
      <w:r w:rsidRPr="00DF102C">
        <w:rPr>
          <w:rFonts w:ascii="Times New Roman" w:eastAsia="Times New Roman" w:hAnsi="Times New Roman" w:cs="Times New Roman"/>
          <w:sz w:val="24"/>
          <w:szCs w:val="24"/>
        </w:rPr>
        <w:t xml:space="preserve"> 1982, Sakae and Hirai 1982, Suga 1982, Robinson et al 1987, Robinson et al 1988, </w:t>
      </w:r>
      <w:proofErr w:type="spellStart"/>
      <w:r w:rsidRPr="00DF102C">
        <w:rPr>
          <w:rFonts w:ascii="Times New Roman" w:eastAsia="Times New Roman" w:hAnsi="Times New Roman" w:cs="Times New Roman"/>
          <w:sz w:val="24"/>
          <w:szCs w:val="24"/>
        </w:rPr>
        <w:t>Passey</w:t>
      </w:r>
      <w:proofErr w:type="spellEnd"/>
      <w:r w:rsidRPr="00DF102C">
        <w:rPr>
          <w:rFonts w:ascii="Times New Roman" w:eastAsia="Times New Roman" w:hAnsi="Times New Roman" w:cs="Times New Roman"/>
          <w:sz w:val="24"/>
          <w:szCs w:val="24"/>
        </w:rPr>
        <w:t xml:space="preserve"> and </w:t>
      </w:r>
      <w:proofErr w:type="spellStart"/>
      <w:r w:rsidRPr="00DF102C">
        <w:rPr>
          <w:rFonts w:ascii="Times New Roman" w:eastAsia="Times New Roman" w:hAnsi="Times New Roman" w:cs="Times New Roman"/>
          <w:sz w:val="24"/>
          <w:szCs w:val="24"/>
        </w:rPr>
        <w:t>Cerling</w:t>
      </w:r>
      <w:proofErr w:type="spellEnd"/>
      <w:r w:rsidRPr="00DF102C">
        <w:rPr>
          <w:rFonts w:ascii="Times New Roman" w:eastAsia="Times New Roman" w:hAnsi="Times New Roman" w:cs="Times New Roman"/>
          <w:sz w:val="24"/>
          <w:szCs w:val="24"/>
        </w:rPr>
        <w:t xml:space="preserve"> 2002). This maturation zone often corresponds to a large portion of the overall crown height. For example, the lengths of the maturation zone (length of maturation) for cow and bison lower first molars studied by </w:t>
      </w:r>
      <w:proofErr w:type="spellStart"/>
      <w:r w:rsidRPr="00DF102C">
        <w:rPr>
          <w:rFonts w:ascii="Times New Roman" w:eastAsia="Times New Roman" w:hAnsi="Times New Roman" w:cs="Times New Roman"/>
          <w:sz w:val="24"/>
          <w:szCs w:val="24"/>
        </w:rPr>
        <w:t>Passey</w:t>
      </w:r>
      <w:proofErr w:type="spellEnd"/>
      <w:r w:rsidRPr="00DF102C">
        <w:rPr>
          <w:rFonts w:ascii="Times New Roman" w:eastAsia="Times New Roman" w:hAnsi="Times New Roman" w:cs="Times New Roman"/>
          <w:sz w:val="24"/>
          <w:szCs w:val="24"/>
        </w:rPr>
        <w:t xml:space="preserve"> and </w:t>
      </w:r>
      <w:proofErr w:type="spellStart"/>
      <w:r w:rsidRPr="00DF102C">
        <w:rPr>
          <w:rFonts w:ascii="Times New Roman" w:eastAsia="Times New Roman" w:hAnsi="Times New Roman" w:cs="Times New Roman"/>
          <w:sz w:val="24"/>
          <w:szCs w:val="24"/>
        </w:rPr>
        <w:t>Cerling</w:t>
      </w:r>
      <w:proofErr w:type="spellEnd"/>
      <w:r w:rsidRPr="00DF102C">
        <w:rPr>
          <w:rFonts w:ascii="Times New Roman" w:eastAsia="Times New Roman" w:hAnsi="Times New Roman" w:cs="Times New Roman"/>
          <w:sz w:val="24"/>
          <w:szCs w:val="24"/>
        </w:rPr>
        <w:t xml:space="preserve"> (2002) were at least 15 mm and 30 mm, respectively. The total crown height for these teeth is on the order of 35 mm to 45 mm, and taken with a tooth crown formation time of </w:t>
      </w:r>
      <w:r w:rsidRPr="00DF102C">
        <w:rPr>
          <w:rFonts w:ascii="Cambria Math" w:eastAsia="Times New Roman" w:hAnsi="Cambria Math" w:cs="Cambria Math"/>
          <w:sz w:val="24"/>
          <w:szCs w:val="24"/>
        </w:rPr>
        <w:t>∼</w:t>
      </w:r>
      <w:r w:rsidRPr="00DF102C">
        <w:rPr>
          <w:rFonts w:ascii="Times New Roman" w:eastAsia="Times New Roman" w:hAnsi="Times New Roman" w:cs="Times New Roman"/>
          <w:sz w:val="24"/>
          <w:szCs w:val="24"/>
        </w:rPr>
        <w:t>1 y (Brown et al., 1960), any volume of enamel will have isotopic composition that is the time average of several months (</w:t>
      </w:r>
      <w:proofErr w:type="spellStart"/>
      <w:r w:rsidRPr="00DF102C">
        <w:rPr>
          <w:rFonts w:ascii="Times New Roman" w:eastAsia="Times New Roman" w:hAnsi="Times New Roman" w:cs="Times New Roman"/>
          <w:sz w:val="24"/>
          <w:szCs w:val="24"/>
        </w:rPr>
        <w:t>Balasse</w:t>
      </w:r>
      <w:proofErr w:type="spellEnd"/>
      <w:r w:rsidRPr="00DF102C">
        <w:rPr>
          <w:rFonts w:ascii="Times New Roman" w:eastAsia="Times New Roman" w:hAnsi="Times New Roman" w:cs="Times New Roman"/>
          <w:sz w:val="24"/>
          <w:szCs w:val="24"/>
        </w:rPr>
        <w:t>, 2002).</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proofErr w:type="spellStart"/>
      <w:r w:rsidRPr="00DF102C">
        <w:rPr>
          <w:rFonts w:ascii="Times New Roman" w:eastAsia="Times New Roman" w:hAnsi="Times New Roman" w:cs="Times New Roman"/>
          <w:sz w:val="24"/>
          <w:szCs w:val="24"/>
        </w:rPr>
        <w:t>Passey</w:t>
      </w:r>
      <w:proofErr w:type="spellEnd"/>
      <w:r w:rsidRPr="00DF102C">
        <w:rPr>
          <w:rFonts w:ascii="Times New Roman" w:eastAsia="Times New Roman" w:hAnsi="Times New Roman" w:cs="Times New Roman"/>
          <w:sz w:val="24"/>
          <w:szCs w:val="24"/>
        </w:rPr>
        <w:t xml:space="preserve"> and </w:t>
      </w:r>
      <w:proofErr w:type="spellStart"/>
      <w:r w:rsidRPr="00DF102C">
        <w:rPr>
          <w:rFonts w:ascii="Times New Roman" w:eastAsia="Times New Roman" w:hAnsi="Times New Roman" w:cs="Times New Roman"/>
          <w:sz w:val="24"/>
          <w:szCs w:val="24"/>
        </w:rPr>
        <w:t>Cerling</w:t>
      </w:r>
      <w:proofErr w:type="spellEnd"/>
      <w:r w:rsidRPr="00DF102C">
        <w:rPr>
          <w:rFonts w:ascii="Times New Roman" w:eastAsia="Times New Roman" w:hAnsi="Times New Roman" w:cs="Times New Roman"/>
          <w:sz w:val="24"/>
          <w:szCs w:val="24"/>
        </w:rPr>
        <w:t xml:space="preserve"> (2002) developed a series of equations that serve as a forward model allowing prediction of how primary input signals will appear as measured tooth enamel signals for different maturation parameters and sampling geometries. The model is specific to ever-growing teeth and is a type of running average that predicts that features of the input signal are increasingly time-averaged and attenuated in amplitude as the maturation length becomes longer (Fig. 1). The model predicts that isotope amplitudes of measured isotope profiles are as much a function of the environmental input signal amplitude as they are of maturation length, and shows that accounting for tooth enamel maturation and sampling geometry is critical for meaningful interpretation of intra-tooth isotope profiles.</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In this paper, inverse methods are presented that allow for reconstruction of input signals based on measured isotope profiles. This inversion requires that the forward model describing sampling geometry and spatial-temporal averaging during amelogenesis be embodied in the form of a matrix called the averaging matrix. This matrix relates the input time series to the measured isotope profile and can be inverted to solve for the input time series. The forward model used throughout this paper is the constant growth rate, linear maturation model described in </w:t>
      </w:r>
      <w:proofErr w:type="spellStart"/>
      <w:r w:rsidRPr="00DF102C">
        <w:rPr>
          <w:rFonts w:ascii="Times New Roman" w:eastAsia="Times New Roman" w:hAnsi="Times New Roman" w:cs="Times New Roman"/>
          <w:sz w:val="24"/>
          <w:szCs w:val="24"/>
        </w:rPr>
        <w:t>Passey</w:t>
      </w:r>
      <w:proofErr w:type="spellEnd"/>
      <w:r w:rsidRPr="00DF102C">
        <w:rPr>
          <w:rFonts w:ascii="Times New Roman" w:eastAsia="Times New Roman" w:hAnsi="Times New Roman" w:cs="Times New Roman"/>
          <w:sz w:val="24"/>
          <w:szCs w:val="24"/>
        </w:rPr>
        <w:t xml:space="preserve"> and </w:t>
      </w:r>
      <w:proofErr w:type="spellStart"/>
      <w:r w:rsidRPr="00DF102C">
        <w:rPr>
          <w:rFonts w:ascii="Times New Roman" w:eastAsia="Times New Roman" w:hAnsi="Times New Roman" w:cs="Times New Roman"/>
          <w:sz w:val="24"/>
          <w:szCs w:val="24"/>
        </w:rPr>
        <w:t>Cerling</w:t>
      </w:r>
      <w:proofErr w:type="spellEnd"/>
      <w:r w:rsidRPr="00DF102C">
        <w:rPr>
          <w:rFonts w:ascii="Times New Roman" w:eastAsia="Times New Roman" w:hAnsi="Times New Roman" w:cs="Times New Roman"/>
          <w:sz w:val="24"/>
          <w:szCs w:val="24"/>
        </w:rPr>
        <w:t xml:space="preserve"> (2002). It should be noted here that by “input signal”, we refer to the isotopic composition of fluids in the animal’s body that are in isotopic equilibrium with the measured phase in tooth enamel. The term “input signal” does not refer to the instantaneous isotopic composition of, for instance, diet or drinking water. Other types of models (e.g., Kohn 1996, </w:t>
      </w:r>
      <w:proofErr w:type="spellStart"/>
      <w:r w:rsidRPr="00DF102C">
        <w:rPr>
          <w:rFonts w:ascii="Times New Roman" w:eastAsia="Times New Roman" w:hAnsi="Times New Roman" w:cs="Times New Roman"/>
          <w:sz w:val="24"/>
          <w:szCs w:val="24"/>
        </w:rPr>
        <w:t>Ayliffe</w:t>
      </w:r>
      <w:proofErr w:type="spellEnd"/>
      <w:r w:rsidRPr="00DF102C">
        <w:rPr>
          <w:rFonts w:ascii="Times New Roman" w:eastAsia="Times New Roman" w:hAnsi="Times New Roman" w:cs="Times New Roman"/>
          <w:sz w:val="24"/>
          <w:szCs w:val="24"/>
        </w:rPr>
        <w:t xml:space="preserve"> et al 2004) relate these inputs to the body fluid composition.</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This paper describes a linear system that relates input and measured isotope signals, and then outlines the inverse methods used to estimate the input signal. These methods are tested using synthetic systems in which tooth enamel profiles are generated from hypothetical input signals, random error is added to the profiles to simulate measurement uncertainties, and profiles are inverted to give an estimate of the original hypothetical input signal. Comparison between the original and estimated input signals allows direct evaluation of the ability of the inverse methods to correctly recover input signals. As an important component of this paper, we evaluate the accuracy </w:t>
      </w:r>
      <w:r w:rsidRPr="00DF102C">
        <w:rPr>
          <w:rFonts w:ascii="Times New Roman" w:eastAsia="Times New Roman" w:hAnsi="Times New Roman" w:cs="Times New Roman"/>
          <w:sz w:val="24"/>
          <w:szCs w:val="24"/>
        </w:rPr>
        <w:lastRenderedPageBreak/>
        <w:t xml:space="preserve">of the forward and inverse models by studying a tooth from a rabbit that underwent known dietary changes, and we estimate the diets of two modern </w:t>
      </w:r>
      <w:r w:rsidRPr="00DF102C">
        <w:rPr>
          <w:rFonts w:ascii="Times New Roman" w:eastAsia="Times New Roman" w:hAnsi="Times New Roman" w:cs="Times New Roman"/>
          <w:i/>
          <w:iCs/>
          <w:sz w:val="24"/>
          <w:szCs w:val="24"/>
        </w:rPr>
        <w:t>Hippopotamus</w:t>
      </w:r>
      <w:r w:rsidRPr="00DF102C">
        <w:rPr>
          <w:rFonts w:ascii="Times New Roman" w:eastAsia="Times New Roman" w:hAnsi="Times New Roman" w:cs="Times New Roman"/>
          <w:sz w:val="24"/>
          <w:szCs w:val="24"/>
        </w:rPr>
        <w:t xml:space="preserve"> individuals based on carbon isotope profiles of lower canine teeth.</w:t>
      </w:r>
    </w:p>
    <w:p w:rsidR="00DF102C" w:rsidRPr="00DF102C" w:rsidRDefault="00DF102C" w:rsidP="00DF102C">
      <w:pPr>
        <w:spacing w:before="100" w:beforeAutospacing="1" w:after="100" w:afterAutospacing="1" w:line="240" w:lineRule="auto"/>
        <w:outlineLvl w:val="1"/>
        <w:rPr>
          <w:rFonts w:ascii="Times New Roman" w:eastAsia="Times New Roman" w:hAnsi="Times New Roman" w:cs="Times New Roman"/>
          <w:b/>
          <w:bCs/>
          <w:sz w:val="36"/>
          <w:szCs w:val="36"/>
        </w:rPr>
      </w:pPr>
      <w:r w:rsidRPr="00DF102C">
        <w:rPr>
          <w:rFonts w:ascii="Times New Roman" w:eastAsia="Times New Roman" w:hAnsi="Times New Roman" w:cs="Times New Roman"/>
          <w:b/>
          <w:bCs/>
          <w:sz w:val="36"/>
          <w:szCs w:val="36"/>
        </w:rPr>
        <w:t>Section snippets</w:t>
      </w:r>
    </w:p>
    <w:p w:rsidR="00DF102C" w:rsidRPr="00DF102C" w:rsidRDefault="00DF102C" w:rsidP="00DF102C">
      <w:pPr>
        <w:spacing w:before="100" w:beforeAutospacing="1" w:after="100" w:afterAutospacing="1" w:line="240" w:lineRule="auto"/>
        <w:outlineLvl w:val="1"/>
        <w:rPr>
          <w:rFonts w:ascii="Times New Roman" w:eastAsia="Times New Roman" w:hAnsi="Times New Roman" w:cs="Times New Roman"/>
          <w:b/>
          <w:bCs/>
          <w:sz w:val="36"/>
          <w:szCs w:val="36"/>
        </w:rPr>
      </w:pPr>
      <w:r w:rsidRPr="00DF102C">
        <w:rPr>
          <w:rFonts w:ascii="Times New Roman" w:eastAsia="Times New Roman" w:hAnsi="Times New Roman" w:cs="Times New Roman"/>
          <w:b/>
          <w:bCs/>
          <w:sz w:val="36"/>
          <w:szCs w:val="36"/>
        </w:rPr>
        <w:t>Description of the Linear System Am = d</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Notation used throughout this paper is listed in Table 1. The maturation parameters </w:t>
      </w:r>
      <w:proofErr w:type="spellStart"/>
      <w:r w:rsidRPr="00DF102C">
        <w:rPr>
          <w:rFonts w:ascii="Times New Roman" w:eastAsia="Times New Roman" w:hAnsi="Times New Roman" w:cs="Times New Roman"/>
          <w:sz w:val="24"/>
          <w:szCs w:val="24"/>
        </w:rPr>
        <w:t>l</w:t>
      </w:r>
      <w:r w:rsidRPr="00DF102C">
        <w:rPr>
          <w:rFonts w:ascii="Times New Roman" w:eastAsia="Times New Roman" w:hAnsi="Times New Roman" w:cs="Times New Roman"/>
          <w:sz w:val="24"/>
          <w:szCs w:val="24"/>
          <w:vertAlign w:val="subscript"/>
        </w:rPr>
        <w:t>m</w:t>
      </w:r>
      <w:proofErr w:type="spellEnd"/>
      <w:r w:rsidRPr="00DF102C">
        <w:rPr>
          <w:rFonts w:ascii="Times New Roman" w:eastAsia="Times New Roman" w:hAnsi="Times New Roman" w:cs="Times New Roman"/>
          <w:sz w:val="24"/>
          <w:szCs w:val="24"/>
        </w:rPr>
        <w:t xml:space="preserve"> (length of maturation) and l</w:t>
      </w:r>
      <w:r w:rsidRPr="00DF102C">
        <w:rPr>
          <w:rFonts w:ascii="Times New Roman" w:eastAsia="Times New Roman" w:hAnsi="Times New Roman" w:cs="Times New Roman"/>
          <w:sz w:val="24"/>
          <w:szCs w:val="24"/>
          <w:vertAlign w:val="subscript"/>
        </w:rPr>
        <w:t>a</w:t>
      </w:r>
      <w:r w:rsidRPr="00DF102C">
        <w:rPr>
          <w:rFonts w:ascii="Times New Roman" w:eastAsia="Times New Roman" w:hAnsi="Times New Roman" w:cs="Times New Roman"/>
          <w:sz w:val="24"/>
          <w:szCs w:val="24"/>
        </w:rPr>
        <w:t xml:space="preserve"> (length of apposition) are introduced and described in </w:t>
      </w:r>
      <w:proofErr w:type="spellStart"/>
      <w:r w:rsidRPr="00DF102C">
        <w:rPr>
          <w:rFonts w:ascii="Times New Roman" w:eastAsia="Times New Roman" w:hAnsi="Times New Roman" w:cs="Times New Roman"/>
          <w:sz w:val="24"/>
          <w:szCs w:val="24"/>
        </w:rPr>
        <w:t>Passey</w:t>
      </w:r>
      <w:proofErr w:type="spellEnd"/>
      <w:r w:rsidRPr="00DF102C">
        <w:rPr>
          <w:rFonts w:ascii="Times New Roman" w:eastAsia="Times New Roman" w:hAnsi="Times New Roman" w:cs="Times New Roman"/>
          <w:sz w:val="24"/>
          <w:szCs w:val="24"/>
        </w:rPr>
        <w:t xml:space="preserve"> and </w:t>
      </w:r>
      <w:proofErr w:type="spellStart"/>
      <w:r w:rsidRPr="00DF102C">
        <w:rPr>
          <w:rFonts w:ascii="Times New Roman" w:eastAsia="Times New Roman" w:hAnsi="Times New Roman" w:cs="Times New Roman"/>
          <w:sz w:val="24"/>
          <w:szCs w:val="24"/>
        </w:rPr>
        <w:t>Cerling</w:t>
      </w:r>
      <w:proofErr w:type="spellEnd"/>
      <w:r w:rsidRPr="00DF102C">
        <w:rPr>
          <w:rFonts w:ascii="Times New Roman" w:eastAsia="Times New Roman" w:hAnsi="Times New Roman" w:cs="Times New Roman"/>
          <w:sz w:val="24"/>
          <w:szCs w:val="24"/>
        </w:rPr>
        <w:t xml:space="preserve"> (2002), and are illustrated in Figure A1.1.</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The primary input signal and the measured isotope data are related by a system of equations:</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The averaging matrix </w:t>
      </w:r>
      <w:r w:rsidRPr="00DF102C">
        <w:rPr>
          <w:rFonts w:ascii="Times New Roman" w:eastAsia="Times New Roman" w:hAnsi="Times New Roman" w:cs="Times New Roman"/>
          <w:b/>
          <w:bCs/>
          <w:sz w:val="24"/>
          <w:szCs w:val="24"/>
        </w:rPr>
        <w:t>A</w:t>
      </w:r>
      <w:r w:rsidRPr="00DF102C">
        <w:rPr>
          <w:rFonts w:ascii="Times New Roman" w:eastAsia="Times New Roman" w:hAnsi="Times New Roman" w:cs="Times New Roman"/>
          <w:sz w:val="24"/>
          <w:szCs w:val="24"/>
        </w:rPr>
        <w:t xml:space="preserve"> is an </w:t>
      </w:r>
      <w:r w:rsidRPr="00DF102C">
        <w:rPr>
          <w:rFonts w:ascii="Times New Roman" w:eastAsia="Times New Roman" w:hAnsi="Times New Roman" w:cs="Times New Roman"/>
          <w:i/>
          <w:iCs/>
          <w:sz w:val="24"/>
          <w:szCs w:val="24"/>
        </w:rPr>
        <w:t>M</w:t>
      </w:r>
      <w:r w:rsidRPr="00DF102C">
        <w:rPr>
          <w:rFonts w:ascii="Times New Roman" w:eastAsia="Times New Roman" w:hAnsi="Times New Roman" w:cs="Times New Roman"/>
          <w:sz w:val="24"/>
          <w:szCs w:val="24"/>
        </w:rPr>
        <w:t xml:space="preserve"> x </w:t>
      </w:r>
      <w:r w:rsidRPr="00DF102C">
        <w:rPr>
          <w:rFonts w:ascii="Times New Roman" w:eastAsia="Times New Roman" w:hAnsi="Times New Roman" w:cs="Times New Roman"/>
          <w:i/>
          <w:iCs/>
          <w:sz w:val="24"/>
          <w:szCs w:val="24"/>
        </w:rPr>
        <w:t>N</w:t>
      </w:r>
      <w:r w:rsidRPr="00DF102C">
        <w:rPr>
          <w:rFonts w:ascii="Times New Roman" w:eastAsia="Times New Roman" w:hAnsi="Times New Roman" w:cs="Times New Roman"/>
          <w:sz w:val="24"/>
          <w:szCs w:val="24"/>
        </w:rPr>
        <w:t xml:space="preserve"> matrix, the input isotope time-series </w:t>
      </w:r>
      <w:r w:rsidRPr="00DF102C">
        <w:rPr>
          <w:rFonts w:ascii="Times New Roman" w:eastAsia="Times New Roman" w:hAnsi="Times New Roman" w:cs="Times New Roman"/>
          <w:b/>
          <w:bCs/>
          <w:sz w:val="24"/>
          <w:szCs w:val="24"/>
        </w:rPr>
        <w:t>m</w:t>
      </w:r>
      <w:r w:rsidRPr="00DF102C">
        <w:rPr>
          <w:rFonts w:ascii="Times New Roman" w:eastAsia="Times New Roman" w:hAnsi="Times New Roman" w:cs="Times New Roman"/>
          <w:sz w:val="24"/>
          <w:szCs w:val="24"/>
        </w:rPr>
        <w:t xml:space="preserve"> is an </w:t>
      </w:r>
      <w:r w:rsidRPr="00DF102C">
        <w:rPr>
          <w:rFonts w:ascii="Times New Roman" w:eastAsia="Times New Roman" w:hAnsi="Times New Roman" w:cs="Times New Roman"/>
          <w:i/>
          <w:iCs/>
          <w:sz w:val="24"/>
          <w:szCs w:val="24"/>
        </w:rPr>
        <w:t>M</w:t>
      </w:r>
      <w:r w:rsidRPr="00DF102C">
        <w:rPr>
          <w:rFonts w:ascii="Times New Roman" w:eastAsia="Times New Roman" w:hAnsi="Times New Roman" w:cs="Times New Roman"/>
          <w:sz w:val="24"/>
          <w:szCs w:val="24"/>
        </w:rPr>
        <w:t xml:space="preserve"> x 1 vector, and the measured isotope time-series </w:t>
      </w:r>
      <w:r w:rsidRPr="00DF102C">
        <w:rPr>
          <w:rFonts w:ascii="Times New Roman" w:eastAsia="Times New Roman" w:hAnsi="Times New Roman" w:cs="Times New Roman"/>
          <w:b/>
          <w:bCs/>
          <w:sz w:val="24"/>
          <w:szCs w:val="24"/>
        </w:rPr>
        <w:t>d</w:t>
      </w:r>
      <w:r w:rsidRPr="00DF102C">
        <w:rPr>
          <w:rFonts w:ascii="Times New Roman" w:eastAsia="Times New Roman" w:hAnsi="Times New Roman" w:cs="Times New Roman"/>
          <w:sz w:val="24"/>
          <w:szCs w:val="24"/>
        </w:rPr>
        <w:t xml:space="preserve"> is an </w:t>
      </w:r>
      <w:r w:rsidRPr="00DF102C">
        <w:rPr>
          <w:rFonts w:ascii="Times New Roman" w:eastAsia="Times New Roman" w:hAnsi="Times New Roman" w:cs="Times New Roman"/>
          <w:i/>
          <w:iCs/>
          <w:sz w:val="24"/>
          <w:szCs w:val="24"/>
        </w:rPr>
        <w:t>N</w:t>
      </w:r>
      <w:r w:rsidRPr="00DF102C">
        <w:rPr>
          <w:rFonts w:ascii="Times New Roman" w:eastAsia="Times New Roman" w:hAnsi="Times New Roman" w:cs="Times New Roman"/>
          <w:sz w:val="24"/>
          <w:szCs w:val="24"/>
        </w:rPr>
        <w:t xml:space="preserve"> x 1 vector. The elements d</w:t>
      </w:r>
    </w:p>
    <w:p w:rsidR="00DF102C" w:rsidRPr="00DF102C" w:rsidRDefault="00DF102C" w:rsidP="00DF102C">
      <w:pPr>
        <w:spacing w:before="100" w:beforeAutospacing="1" w:after="100" w:afterAutospacing="1" w:line="240" w:lineRule="auto"/>
        <w:outlineLvl w:val="1"/>
        <w:rPr>
          <w:rFonts w:ascii="Times New Roman" w:eastAsia="Times New Roman" w:hAnsi="Times New Roman" w:cs="Times New Roman"/>
          <w:b/>
          <w:bCs/>
          <w:sz w:val="36"/>
          <w:szCs w:val="36"/>
        </w:rPr>
      </w:pPr>
      <w:r w:rsidRPr="00DF102C">
        <w:rPr>
          <w:rFonts w:ascii="Times New Roman" w:eastAsia="Times New Roman" w:hAnsi="Times New Roman" w:cs="Times New Roman"/>
          <w:b/>
          <w:bCs/>
          <w:sz w:val="36"/>
          <w:szCs w:val="36"/>
        </w:rPr>
        <w:t>Overview</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In this section synthetic data are used to test the sensitivity of solutions </w:t>
      </w:r>
      <w:proofErr w:type="spellStart"/>
      <w:r w:rsidRPr="00DF102C">
        <w:rPr>
          <w:rFonts w:ascii="Times New Roman" w:eastAsia="Times New Roman" w:hAnsi="Times New Roman" w:cs="Times New Roman"/>
          <w:b/>
          <w:bCs/>
          <w:sz w:val="24"/>
          <w:szCs w:val="24"/>
        </w:rPr>
        <w:t>m</w:t>
      </w:r>
      <w:r w:rsidRPr="00DF102C">
        <w:rPr>
          <w:rFonts w:ascii="Times New Roman" w:eastAsia="Times New Roman" w:hAnsi="Times New Roman" w:cs="Times New Roman"/>
          <w:b/>
          <w:bCs/>
          <w:sz w:val="24"/>
          <w:szCs w:val="24"/>
          <w:vertAlign w:val="subscript"/>
        </w:rPr>
        <w:t>est</w:t>
      </w:r>
      <w:proofErr w:type="spellEnd"/>
      <w:r w:rsidRPr="00DF102C">
        <w:rPr>
          <w:rFonts w:ascii="Times New Roman" w:eastAsia="Times New Roman" w:hAnsi="Times New Roman" w:cs="Times New Roman"/>
          <w:sz w:val="24"/>
          <w:szCs w:val="24"/>
        </w:rPr>
        <w:t xml:space="preserve"> to changes in modeling parameters. A hypothetical input signal </w:t>
      </w:r>
      <w:r w:rsidRPr="00DF102C">
        <w:rPr>
          <w:rFonts w:ascii="Times New Roman" w:eastAsia="Times New Roman" w:hAnsi="Times New Roman" w:cs="Times New Roman"/>
          <w:b/>
          <w:bCs/>
          <w:sz w:val="24"/>
          <w:szCs w:val="24"/>
        </w:rPr>
        <w:t>m</w:t>
      </w:r>
      <w:r w:rsidRPr="00DF102C">
        <w:rPr>
          <w:rFonts w:ascii="Times New Roman" w:eastAsia="Times New Roman" w:hAnsi="Times New Roman" w:cs="Times New Roman"/>
          <w:sz w:val="24"/>
          <w:szCs w:val="24"/>
        </w:rPr>
        <w:t xml:space="preserve"> is made into synthetic measured data </w:t>
      </w:r>
      <w:proofErr w:type="spellStart"/>
      <w:r w:rsidRPr="00DF102C">
        <w:rPr>
          <w:rFonts w:ascii="Times New Roman" w:eastAsia="Times New Roman" w:hAnsi="Times New Roman" w:cs="Times New Roman"/>
          <w:b/>
          <w:bCs/>
          <w:sz w:val="24"/>
          <w:szCs w:val="24"/>
        </w:rPr>
        <w:t>d</w:t>
      </w:r>
      <w:r w:rsidRPr="00DF102C">
        <w:rPr>
          <w:rFonts w:ascii="Times New Roman" w:eastAsia="Times New Roman" w:hAnsi="Times New Roman" w:cs="Times New Roman"/>
          <w:b/>
          <w:bCs/>
          <w:sz w:val="24"/>
          <w:szCs w:val="24"/>
          <w:vertAlign w:val="subscript"/>
        </w:rPr>
        <w:t>meas</w:t>
      </w:r>
      <w:proofErr w:type="spellEnd"/>
      <w:r w:rsidRPr="00DF102C">
        <w:rPr>
          <w:rFonts w:ascii="Times New Roman" w:eastAsia="Times New Roman" w:hAnsi="Times New Roman" w:cs="Times New Roman"/>
          <w:sz w:val="24"/>
          <w:szCs w:val="24"/>
        </w:rPr>
        <w:t xml:space="preserve">, random error is added to the signal to simulate natural measurement uncertainties (Appendix 3), and then the signal is inverted to see if the resultant vector </w:t>
      </w:r>
      <w:proofErr w:type="spellStart"/>
      <w:r w:rsidRPr="00DF102C">
        <w:rPr>
          <w:rFonts w:ascii="Times New Roman" w:eastAsia="Times New Roman" w:hAnsi="Times New Roman" w:cs="Times New Roman"/>
          <w:b/>
          <w:bCs/>
          <w:sz w:val="24"/>
          <w:szCs w:val="24"/>
        </w:rPr>
        <w:t>m</w:t>
      </w:r>
      <w:r w:rsidRPr="00DF102C">
        <w:rPr>
          <w:rFonts w:ascii="Times New Roman" w:eastAsia="Times New Roman" w:hAnsi="Times New Roman" w:cs="Times New Roman"/>
          <w:b/>
          <w:bCs/>
          <w:sz w:val="24"/>
          <w:szCs w:val="24"/>
          <w:vertAlign w:val="subscript"/>
        </w:rPr>
        <w:t>est</w:t>
      </w:r>
      <w:proofErr w:type="spellEnd"/>
      <w:r w:rsidRPr="00DF102C">
        <w:rPr>
          <w:rFonts w:ascii="Times New Roman" w:eastAsia="Times New Roman" w:hAnsi="Times New Roman" w:cs="Times New Roman"/>
          <w:sz w:val="24"/>
          <w:szCs w:val="24"/>
        </w:rPr>
        <w:t xml:space="preserve"> is similar to </w:t>
      </w:r>
      <w:r w:rsidRPr="00DF102C">
        <w:rPr>
          <w:rFonts w:ascii="Times New Roman" w:eastAsia="Times New Roman" w:hAnsi="Times New Roman" w:cs="Times New Roman"/>
          <w:b/>
          <w:bCs/>
          <w:sz w:val="24"/>
          <w:szCs w:val="24"/>
        </w:rPr>
        <w:t>m</w:t>
      </w:r>
      <w:r w:rsidRPr="00DF102C">
        <w:rPr>
          <w:rFonts w:ascii="Times New Roman" w:eastAsia="Times New Roman" w:hAnsi="Times New Roman" w:cs="Times New Roman"/>
          <w:sz w:val="24"/>
          <w:szCs w:val="24"/>
        </w:rPr>
        <w:t xml:space="preserve">. This approach allows evaluation of how changes in </w:t>
      </w:r>
      <w:r w:rsidRPr="00DF102C">
        <w:rPr>
          <w:rFonts w:ascii="MS Mincho" w:eastAsia="MS Mincho" w:hAnsi="MS Mincho" w:cs="MS Mincho" w:hint="eastAsia"/>
          <w:b/>
          <w:bCs/>
          <w:sz w:val="24"/>
          <w:szCs w:val="24"/>
        </w:rPr>
        <w:t>〈</w:t>
      </w:r>
      <w:r w:rsidRPr="00DF102C">
        <w:rPr>
          <w:rFonts w:ascii="Times New Roman" w:eastAsia="Times New Roman" w:hAnsi="Times New Roman" w:cs="Times New Roman"/>
          <w:b/>
          <w:bCs/>
          <w:sz w:val="24"/>
          <w:szCs w:val="24"/>
        </w:rPr>
        <w:t>m</w:t>
      </w:r>
      <w:r w:rsidRPr="00DF102C">
        <w:rPr>
          <w:rFonts w:ascii="MS Mincho" w:eastAsia="MS Mincho" w:hAnsi="MS Mincho" w:cs="MS Mincho" w:hint="eastAsia"/>
          <w:b/>
          <w:bCs/>
          <w:sz w:val="24"/>
          <w:szCs w:val="24"/>
        </w:rPr>
        <w:t>〉</w:t>
      </w:r>
      <w:r w:rsidRPr="00DF102C">
        <w:rPr>
          <w:rFonts w:ascii="Times New Roman" w:eastAsia="Times New Roman" w:hAnsi="Times New Roman" w:cs="Times New Roman"/>
          <w:sz w:val="24"/>
          <w:szCs w:val="24"/>
        </w:rPr>
        <w:t xml:space="preserve">, </w:t>
      </w:r>
      <w:r w:rsidRPr="00DF102C">
        <w:rPr>
          <w:rFonts w:ascii="Times New Roman" w:eastAsia="Times New Roman" w:hAnsi="Times New Roman" w:cs="Times New Roman"/>
          <w:b/>
          <w:bCs/>
          <w:i/>
          <w:iCs/>
          <w:sz w:val="24"/>
          <w:szCs w:val="24"/>
        </w:rPr>
        <w:t>ε</w:t>
      </w:r>
      <w:r w:rsidRPr="00DF102C">
        <w:rPr>
          <w:rFonts w:ascii="Times New Roman" w:eastAsia="Times New Roman" w:hAnsi="Times New Roman" w:cs="Times New Roman"/>
          <w:b/>
          <w:bCs/>
          <w:i/>
          <w:iCs/>
          <w:sz w:val="24"/>
          <w:szCs w:val="24"/>
          <w:vertAlign w:val="superscript"/>
        </w:rPr>
        <w:t>2</w:t>
      </w:r>
      <w:r w:rsidRPr="00DF102C">
        <w:rPr>
          <w:rFonts w:ascii="Times New Roman" w:eastAsia="Times New Roman" w:hAnsi="Times New Roman" w:cs="Times New Roman"/>
          <w:sz w:val="24"/>
          <w:szCs w:val="24"/>
        </w:rPr>
        <w:t>, maturation parameters, error in sampling and isotope analysis, and</w:t>
      </w:r>
    </w:p>
    <w:p w:rsidR="00DF102C" w:rsidRPr="00DF102C" w:rsidRDefault="00DF102C" w:rsidP="00DF102C">
      <w:pPr>
        <w:spacing w:before="100" w:beforeAutospacing="1" w:after="100" w:afterAutospacing="1" w:line="240" w:lineRule="auto"/>
        <w:outlineLvl w:val="1"/>
        <w:rPr>
          <w:rFonts w:ascii="Times New Roman" w:eastAsia="Times New Roman" w:hAnsi="Times New Roman" w:cs="Times New Roman"/>
          <w:b/>
          <w:bCs/>
          <w:sz w:val="36"/>
          <w:szCs w:val="36"/>
        </w:rPr>
      </w:pPr>
      <w:r w:rsidRPr="00DF102C">
        <w:rPr>
          <w:rFonts w:ascii="Times New Roman" w:eastAsia="Times New Roman" w:hAnsi="Times New Roman" w:cs="Times New Roman"/>
          <w:b/>
          <w:bCs/>
          <w:sz w:val="36"/>
          <w:szCs w:val="36"/>
        </w:rPr>
        <w:t>Overview</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The following section explores the inversion of three different carbon isotope profiles measured on teeth from modern mammals. Inversion of these “real” signals is potentially more troublesome than inversion of hypothetical signals because of uncertainties in growth rates, maturation parameters, sampling geometry, and mass spectrometry. Each of the profiles is unique and illustrates different problems associated with inverse methods. The first profile is from a rabbit that underwent a</w:t>
      </w:r>
    </w:p>
    <w:p w:rsidR="00DF102C" w:rsidRPr="00DF102C" w:rsidRDefault="00DF102C" w:rsidP="00DF102C">
      <w:pPr>
        <w:spacing w:before="100" w:beforeAutospacing="1" w:after="100" w:afterAutospacing="1" w:line="240" w:lineRule="auto"/>
        <w:outlineLvl w:val="1"/>
        <w:rPr>
          <w:rFonts w:ascii="Times New Roman" w:eastAsia="Times New Roman" w:hAnsi="Times New Roman" w:cs="Times New Roman"/>
          <w:b/>
          <w:bCs/>
          <w:sz w:val="36"/>
          <w:szCs w:val="36"/>
        </w:rPr>
      </w:pPr>
      <w:r w:rsidRPr="00DF102C">
        <w:rPr>
          <w:rFonts w:ascii="Times New Roman" w:eastAsia="Times New Roman" w:hAnsi="Times New Roman" w:cs="Times New Roman"/>
          <w:b/>
          <w:bCs/>
          <w:sz w:val="36"/>
          <w:szCs w:val="36"/>
        </w:rPr>
        <w:t>Discussion</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Inversion of the hypothetical profiles (Figs. 2, 3, and 4) and the rabbit profile (Fig. 5) led to estimates of the input signals that were, in all cases, much more similar to the original input signals than were the raw isotope data alone. However, the modeling results clearly illustrate that different isotope profiles respond differently to inversion, with some giving more accurate results than others. For some such as the Midway profile (Fig. 2, Fig. 4), the form of </w:t>
      </w:r>
      <w:proofErr w:type="spellStart"/>
      <w:r w:rsidRPr="00DF102C">
        <w:rPr>
          <w:rFonts w:ascii="Times New Roman" w:eastAsia="Times New Roman" w:hAnsi="Times New Roman" w:cs="Times New Roman"/>
          <w:b/>
          <w:bCs/>
          <w:sz w:val="24"/>
          <w:szCs w:val="24"/>
        </w:rPr>
        <w:t>m</w:t>
      </w:r>
      <w:r w:rsidRPr="00DF102C">
        <w:rPr>
          <w:rFonts w:ascii="Times New Roman" w:eastAsia="Times New Roman" w:hAnsi="Times New Roman" w:cs="Times New Roman"/>
          <w:b/>
          <w:bCs/>
          <w:sz w:val="24"/>
          <w:szCs w:val="24"/>
          <w:vertAlign w:val="subscript"/>
        </w:rPr>
        <w:t>est</w:t>
      </w:r>
      <w:proofErr w:type="spellEnd"/>
      <w:r w:rsidRPr="00DF102C">
        <w:rPr>
          <w:rFonts w:ascii="Times New Roman" w:eastAsia="Times New Roman" w:hAnsi="Times New Roman" w:cs="Times New Roman"/>
          <w:sz w:val="24"/>
          <w:szCs w:val="24"/>
        </w:rPr>
        <w:t xml:space="preserve"> is insensitive to </w:t>
      </w:r>
      <w:r w:rsidRPr="00DF102C">
        <w:rPr>
          <w:rFonts w:ascii="MS Mincho" w:eastAsia="MS Mincho" w:hAnsi="MS Mincho" w:cs="MS Mincho" w:hint="eastAsia"/>
          <w:b/>
          <w:bCs/>
          <w:sz w:val="24"/>
          <w:szCs w:val="24"/>
        </w:rPr>
        <w:t>〈</w:t>
      </w:r>
      <w:r w:rsidRPr="00DF102C">
        <w:rPr>
          <w:rFonts w:ascii="Times New Roman" w:eastAsia="Times New Roman" w:hAnsi="Times New Roman" w:cs="Times New Roman"/>
          <w:b/>
          <w:bCs/>
          <w:sz w:val="24"/>
          <w:szCs w:val="24"/>
        </w:rPr>
        <w:t>m</w:t>
      </w:r>
      <w:r w:rsidRPr="00DF102C">
        <w:rPr>
          <w:rFonts w:ascii="MS Mincho" w:eastAsia="MS Mincho" w:hAnsi="MS Mincho" w:cs="MS Mincho" w:hint="eastAsia"/>
          <w:b/>
          <w:bCs/>
          <w:sz w:val="24"/>
          <w:szCs w:val="24"/>
        </w:rPr>
        <w:t>〉</w:t>
      </w:r>
      <w:r w:rsidRPr="00DF102C">
        <w:rPr>
          <w:rFonts w:ascii="Times New Roman" w:eastAsia="Times New Roman" w:hAnsi="Times New Roman" w:cs="Times New Roman"/>
          <w:sz w:val="24"/>
          <w:szCs w:val="24"/>
        </w:rPr>
        <w:t xml:space="preserve"> </w:t>
      </w:r>
    </w:p>
    <w:p w:rsidR="00DF102C" w:rsidRPr="00DF102C" w:rsidRDefault="00DF102C" w:rsidP="00DF102C">
      <w:pPr>
        <w:spacing w:before="100" w:beforeAutospacing="1" w:after="100" w:afterAutospacing="1" w:line="240" w:lineRule="auto"/>
        <w:outlineLvl w:val="1"/>
        <w:rPr>
          <w:rFonts w:ascii="Times New Roman" w:eastAsia="Times New Roman" w:hAnsi="Times New Roman" w:cs="Times New Roman"/>
          <w:b/>
          <w:bCs/>
          <w:sz w:val="36"/>
          <w:szCs w:val="36"/>
        </w:rPr>
      </w:pPr>
      <w:r w:rsidRPr="00DF102C">
        <w:rPr>
          <w:rFonts w:ascii="Times New Roman" w:eastAsia="Times New Roman" w:hAnsi="Times New Roman" w:cs="Times New Roman"/>
          <w:b/>
          <w:bCs/>
          <w:sz w:val="36"/>
          <w:szCs w:val="36"/>
        </w:rPr>
        <w:t>Conclusions</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A method has been presented that enables tooth enamel maturation and sampling parameters to be embodied into the form of a linear system that allows both forward and inverse modeling of </w:t>
      </w:r>
      <w:r w:rsidRPr="00DF102C">
        <w:rPr>
          <w:rFonts w:ascii="Times New Roman" w:eastAsia="Times New Roman" w:hAnsi="Times New Roman" w:cs="Times New Roman"/>
          <w:sz w:val="24"/>
          <w:szCs w:val="24"/>
        </w:rPr>
        <w:lastRenderedPageBreak/>
        <w:t>measured and input isotope signals. The inverse modeling is based on the fundamental assumption that the best model solutions are those with minimized length. Application of these inverse methods to hypothetical data shows that meaningful results can be recovered on this basis of this assumption. Application of</w:t>
      </w:r>
    </w:p>
    <w:p w:rsidR="00DF102C" w:rsidRPr="00DF102C" w:rsidRDefault="00DF102C" w:rsidP="00DF102C">
      <w:pPr>
        <w:spacing w:before="100" w:beforeAutospacing="1" w:after="100" w:afterAutospacing="1" w:line="240" w:lineRule="auto"/>
        <w:outlineLvl w:val="1"/>
        <w:rPr>
          <w:rFonts w:ascii="Times New Roman" w:eastAsia="Times New Roman" w:hAnsi="Times New Roman" w:cs="Times New Roman"/>
          <w:b/>
          <w:bCs/>
          <w:sz w:val="36"/>
          <w:szCs w:val="36"/>
        </w:rPr>
      </w:pPr>
      <w:r w:rsidRPr="00DF102C">
        <w:rPr>
          <w:rFonts w:ascii="Times New Roman" w:eastAsia="Times New Roman" w:hAnsi="Times New Roman" w:cs="Times New Roman"/>
          <w:b/>
          <w:bCs/>
          <w:sz w:val="36"/>
          <w:szCs w:val="36"/>
        </w:rPr>
        <w:t>Acknowledgments</w:t>
      </w:r>
    </w:p>
    <w:p w:rsidR="00DF102C" w:rsidRPr="00DF102C" w:rsidRDefault="00DF102C" w:rsidP="00DF102C">
      <w:pPr>
        <w:spacing w:before="100" w:beforeAutospacing="1" w:after="100" w:afterAutospacing="1" w:line="240" w:lineRule="auto"/>
        <w:rPr>
          <w:rFonts w:ascii="Times New Roman" w:eastAsia="Times New Roman" w:hAnsi="Times New Roman" w:cs="Times New Roman"/>
          <w:sz w:val="24"/>
          <w:szCs w:val="24"/>
        </w:rPr>
      </w:pPr>
      <w:r w:rsidRPr="00DF102C">
        <w:rPr>
          <w:rFonts w:ascii="Times New Roman" w:eastAsia="Times New Roman" w:hAnsi="Times New Roman" w:cs="Times New Roman"/>
          <w:sz w:val="24"/>
          <w:szCs w:val="24"/>
        </w:rPr>
        <w:t xml:space="preserve">We thank C. L. Lin and J. D. Miller for X-ray </w:t>
      </w:r>
      <w:proofErr w:type="spellStart"/>
      <w:r w:rsidRPr="00DF102C">
        <w:rPr>
          <w:rFonts w:ascii="Times New Roman" w:eastAsia="Times New Roman" w:hAnsi="Times New Roman" w:cs="Times New Roman"/>
          <w:sz w:val="24"/>
          <w:szCs w:val="24"/>
        </w:rPr>
        <w:t>microCT</w:t>
      </w:r>
      <w:proofErr w:type="spellEnd"/>
      <w:r w:rsidRPr="00DF102C">
        <w:rPr>
          <w:rFonts w:ascii="Times New Roman" w:eastAsia="Times New Roman" w:hAnsi="Times New Roman" w:cs="Times New Roman"/>
          <w:sz w:val="24"/>
          <w:szCs w:val="24"/>
        </w:rPr>
        <w:t xml:space="preserve"> analysis, and Jim </w:t>
      </w:r>
      <w:proofErr w:type="spellStart"/>
      <w:r w:rsidRPr="00DF102C">
        <w:rPr>
          <w:rFonts w:ascii="Times New Roman" w:eastAsia="Times New Roman" w:hAnsi="Times New Roman" w:cs="Times New Roman"/>
          <w:sz w:val="24"/>
          <w:szCs w:val="24"/>
        </w:rPr>
        <w:t>Ehleringer</w:t>
      </w:r>
      <w:proofErr w:type="spellEnd"/>
      <w:r w:rsidRPr="00DF102C">
        <w:rPr>
          <w:rFonts w:ascii="Times New Roman" w:eastAsia="Times New Roman" w:hAnsi="Times New Roman" w:cs="Times New Roman"/>
          <w:sz w:val="24"/>
          <w:szCs w:val="24"/>
        </w:rPr>
        <w:t xml:space="preserve"> and Craig Cook for provision of mass spectrometry facilities. Linda </w:t>
      </w:r>
      <w:proofErr w:type="spellStart"/>
      <w:r w:rsidRPr="00DF102C">
        <w:rPr>
          <w:rFonts w:ascii="Times New Roman" w:eastAsia="Times New Roman" w:hAnsi="Times New Roman" w:cs="Times New Roman"/>
          <w:sz w:val="24"/>
          <w:szCs w:val="24"/>
        </w:rPr>
        <w:t>Ayliffe</w:t>
      </w:r>
      <w:proofErr w:type="spellEnd"/>
      <w:r w:rsidRPr="00DF102C">
        <w:rPr>
          <w:rFonts w:ascii="Times New Roman" w:eastAsia="Times New Roman" w:hAnsi="Times New Roman" w:cs="Times New Roman"/>
          <w:sz w:val="24"/>
          <w:szCs w:val="24"/>
        </w:rPr>
        <w:t xml:space="preserve">, Joey Farmer, and Scott Hynek provided useful discussion and advice. We thank Matt Kohn, Stephen Grimes, and an anonymous reviewer for providing insightful comments and suggestions. This work was funded by the Packard Foundation and the National Science </w:t>
      </w:r>
      <w:proofErr w:type="spellStart"/>
      <w:r w:rsidRPr="00DF102C">
        <w:rPr>
          <w:rFonts w:ascii="Times New Roman" w:eastAsia="Times New Roman" w:hAnsi="Times New Roman" w:cs="Times New Roman"/>
          <w:sz w:val="24"/>
          <w:szCs w:val="24"/>
        </w:rPr>
        <w:t>Foundatio</w:t>
      </w:r>
      <w:proofErr w:type="spellEnd"/>
    </w:p>
    <w:p w:rsidR="00130B86" w:rsidRDefault="00130B86"/>
    <w:sectPr w:rsidR="00130B86">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02C"/>
    <w:rsid w:val="00130B86"/>
    <w:rsid w:val="00DF10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1F0281"/>
  <w15:chartTrackingRefBased/>
  <w15:docId w15:val="{8C0B5D3F-8D68-42D8-BF62-9F32275462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22981483">
      <w:bodyDiv w:val="1"/>
      <w:marLeft w:val="0"/>
      <w:marRight w:val="0"/>
      <w:marTop w:val="0"/>
      <w:marBottom w:val="0"/>
      <w:divBdr>
        <w:top w:val="none" w:sz="0" w:space="0" w:color="auto"/>
        <w:left w:val="none" w:sz="0" w:space="0" w:color="auto"/>
        <w:bottom w:val="none" w:sz="0" w:space="0" w:color="auto"/>
        <w:right w:val="none" w:sz="0" w:space="0" w:color="auto"/>
      </w:divBdr>
      <w:divsChild>
        <w:div w:id="134493155">
          <w:marLeft w:val="0"/>
          <w:marRight w:val="0"/>
          <w:marTop w:val="0"/>
          <w:marBottom w:val="0"/>
          <w:divBdr>
            <w:top w:val="none" w:sz="0" w:space="0" w:color="auto"/>
            <w:left w:val="none" w:sz="0" w:space="0" w:color="auto"/>
            <w:bottom w:val="none" w:sz="0" w:space="0" w:color="auto"/>
            <w:right w:val="none" w:sz="0" w:space="0" w:color="auto"/>
          </w:divBdr>
          <w:divsChild>
            <w:div w:id="221016632">
              <w:marLeft w:val="0"/>
              <w:marRight w:val="0"/>
              <w:marTop w:val="0"/>
              <w:marBottom w:val="0"/>
              <w:divBdr>
                <w:top w:val="none" w:sz="0" w:space="0" w:color="auto"/>
                <w:left w:val="none" w:sz="0" w:space="0" w:color="auto"/>
                <w:bottom w:val="none" w:sz="0" w:space="0" w:color="auto"/>
                <w:right w:val="none" w:sz="0" w:space="0" w:color="auto"/>
              </w:divBdr>
              <w:divsChild>
                <w:div w:id="285813249">
                  <w:marLeft w:val="0"/>
                  <w:marRight w:val="0"/>
                  <w:marTop w:val="0"/>
                  <w:marBottom w:val="0"/>
                  <w:divBdr>
                    <w:top w:val="none" w:sz="0" w:space="0" w:color="auto"/>
                    <w:left w:val="none" w:sz="0" w:space="0" w:color="auto"/>
                    <w:bottom w:val="none" w:sz="0" w:space="0" w:color="auto"/>
                    <w:right w:val="none" w:sz="0" w:space="0" w:color="auto"/>
                  </w:divBdr>
                  <w:divsChild>
                    <w:div w:id="91208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958964">
          <w:marLeft w:val="0"/>
          <w:marRight w:val="0"/>
          <w:marTop w:val="0"/>
          <w:marBottom w:val="0"/>
          <w:divBdr>
            <w:top w:val="none" w:sz="0" w:space="0" w:color="auto"/>
            <w:left w:val="none" w:sz="0" w:space="0" w:color="auto"/>
            <w:bottom w:val="none" w:sz="0" w:space="0" w:color="auto"/>
            <w:right w:val="none" w:sz="0" w:space="0" w:color="auto"/>
          </w:divBdr>
          <w:divsChild>
            <w:div w:id="1640694311">
              <w:marLeft w:val="0"/>
              <w:marRight w:val="0"/>
              <w:marTop w:val="0"/>
              <w:marBottom w:val="0"/>
              <w:divBdr>
                <w:top w:val="none" w:sz="0" w:space="0" w:color="auto"/>
                <w:left w:val="none" w:sz="0" w:space="0" w:color="auto"/>
                <w:bottom w:val="none" w:sz="0" w:space="0" w:color="auto"/>
                <w:right w:val="none" w:sz="0" w:space="0" w:color="auto"/>
              </w:divBdr>
              <w:divsChild>
                <w:div w:id="1057514402">
                  <w:marLeft w:val="0"/>
                  <w:marRight w:val="0"/>
                  <w:marTop w:val="0"/>
                  <w:marBottom w:val="0"/>
                  <w:divBdr>
                    <w:top w:val="none" w:sz="0" w:space="0" w:color="auto"/>
                    <w:left w:val="none" w:sz="0" w:space="0" w:color="auto"/>
                    <w:bottom w:val="none" w:sz="0" w:space="0" w:color="auto"/>
                    <w:right w:val="none" w:sz="0" w:space="0" w:color="auto"/>
                  </w:divBdr>
                  <w:divsChild>
                    <w:div w:id="79667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849022">
          <w:marLeft w:val="0"/>
          <w:marRight w:val="0"/>
          <w:marTop w:val="0"/>
          <w:marBottom w:val="0"/>
          <w:divBdr>
            <w:top w:val="none" w:sz="0" w:space="0" w:color="auto"/>
            <w:left w:val="none" w:sz="0" w:space="0" w:color="auto"/>
            <w:bottom w:val="none" w:sz="0" w:space="0" w:color="auto"/>
            <w:right w:val="none" w:sz="0" w:space="0" w:color="auto"/>
          </w:divBdr>
          <w:divsChild>
            <w:div w:id="1216352476">
              <w:marLeft w:val="0"/>
              <w:marRight w:val="0"/>
              <w:marTop w:val="0"/>
              <w:marBottom w:val="0"/>
              <w:divBdr>
                <w:top w:val="none" w:sz="0" w:space="0" w:color="auto"/>
                <w:left w:val="none" w:sz="0" w:space="0" w:color="auto"/>
                <w:bottom w:val="none" w:sz="0" w:space="0" w:color="auto"/>
                <w:right w:val="none" w:sz="0" w:space="0" w:color="auto"/>
              </w:divBdr>
            </w:div>
          </w:divsChild>
        </w:div>
        <w:div w:id="1678188790">
          <w:marLeft w:val="0"/>
          <w:marRight w:val="0"/>
          <w:marTop w:val="0"/>
          <w:marBottom w:val="0"/>
          <w:divBdr>
            <w:top w:val="none" w:sz="0" w:space="0" w:color="auto"/>
            <w:left w:val="none" w:sz="0" w:space="0" w:color="auto"/>
            <w:bottom w:val="none" w:sz="0" w:space="0" w:color="auto"/>
            <w:right w:val="none" w:sz="0" w:space="0" w:color="auto"/>
          </w:divBdr>
          <w:divsChild>
            <w:div w:id="78685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linear-systems" TargetMode="External"/><Relationship Id="rId5" Type="http://schemas.openxmlformats.org/officeDocument/2006/relationships/hyperlink" Target="https://www.sciencedirect.com/topics/earth-and-planetary-sciences/seasonality" TargetMode="External"/><Relationship Id="rId4" Type="http://schemas.openxmlformats.org/officeDocument/2006/relationships/hyperlink" Target="https://doi.org/10.1016/j.gca.2004.12.0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1661</Words>
  <Characters>9473</Characters>
  <Application>Microsoft Office Word</Application>
  <DocSecurity>0</DocSecurity>
  <Lines>78</Lines>
  <Paragraphs>22</Paragraphs>
  <ScaleCrop>false</ScaleCrop>
  <Company/>
  <LinksUpToDate>false</LinksUpToDate>
  <CharactersWithSpaces>11112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2023-11-18T03:55:00Z</dcterms:created>
  <dcterms:modified xsi:type="dcterms:W3CDTF">2023-11-18T03:56:00Z</dcterms:modified>
</cp:coreProperties>
</file>