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056F" w:rsidRPr="0051056F" w:rsidRDefault="0051056F" w:rsidP="0051056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1056F">
        <w:rPr>
          <w:rFonts w:ascii="Times New Roman" w:eastAsia="Times New Roman" w:hAnsi="Times New Roman" w:cs="Times New Roman"/>
          <w:b/>
          <w:bCs/>
          <w:kern w:val="36"/>
          <w:sz w:val="48"/>
          <w:szCs w:val="48"/>
        </w:rPr>
        <w:t>Fractionation change of hydrogen isotopes in trees due to atmospheric pollutants</w:t>
      </w:r>
    </w:p>
    <w:p w:rsidR="0051056F" w:rsidRPr="0051056F" w:rsidRDefault="0051056F" w:rsidP="0051056F">
      <w:pPr>
        <w:spacing w:after="0"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Author links open overlay panel</w:t>
      </w:r>
    </w:p>
    <w:p w:rsidR="0051056F" w:rsidRPr="0051056F" w:rsidRDefault="0051056F" w:rsidP="0051056F">
      <w:pPr>
        <w:spacing w:after="0"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 xml:space="preserve">, , , , , </w:t>
      </w:r>
    </w:p>
    <w:p w:rsidR="0051056F" w:rsidRPr="0051056F" w:rsidRDefault="0051056F" w:rsidP="0051056F">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1056F">
          <w:rPr>
            <w:rFonts w:ascii="Times New Roman" w:eastAsia="Times New Roman" w:hAnsi="Times New Roman" w:cs="Times New Roman"/>
            <w:color w:val="0000FF"/>
            <w:sz w:val="24"/>
            <w:szCs w:val="24"/>
            <w:u w:val="single"/>
          </w:rPr>
          <w:t>https://doi.org/10.1016/j.gca.2005.03.046</w:t>
        </w:r>
      </w:hyperlink>
      <w:bookmarkStart w:id="0" w:name="_GoBack"/>
      <w:bookmarkEnd w:id="0"/>
      <w:r w:rsidRPr="0051056F">
        <w:rPr>
          <w:rFonts w:ascii="Times New Roman" w:eastAsia="Times New Roman" w:hAnsi="Times New Roman" w:cs="Times New Roman"/>
          <w:sz w:val="24"/>
          <w:szCs w:val="24"/>
        </w:rPr>
        <w:t xml:space="preserve"> </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Abstract</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Atmospheric pollution effects on hydrogen fractionation in trees are demonstrated for the first time in this study. The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H ring-cellulose series obtained for black spruce trees at a site near a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-emitting smelter display short-term fluctuations superimposed on a first order −11‰ shift coincident with the onset of smelter operations. The isotopic depletion in trees exposed to various levels of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diminish with increasing distance relative to the location of the smelter, and it is not detected at the most distant selected stand, 116 km downwind from the point source. Both the spatial and temporal isotopic trends likely result from the combined effects of leaf transpiration, </w:t>
      </w:r>
      <w:hyperlink r:id="rId5" w:tooltip="Learn more about biochemical processes from ScienceDirect's AI-generated Topic Pages" w:history="1">
        <w:r w:rsidRPr="0051056F">
          <w:rPr>
            <w:rFonts w:ascii="Times New Roman" w:eastAsia="Times New Roman" w:hAnsi="Times New Roman" w:cs="Times New Roman"/>
            <w:color w:val="0000FF"/>
            <w:sz w:val="24"/>
            <w:szCs w:val="24"/>
            <w:u w:val="single"/>
          </w:rPr>
          <w:t>biochemical processes</w:t>
        </w:r>
      </w:hyperlink>
      <w:r w:rsidRPr="0051056F">
        <w:rPr>
          <w:rFonts w:ascii="Times New Roman" w:eastAsia="Times New Roman" w:hAnsi="Times New Roman" w:cs="Times New Roman"/>
          <w:sz w:val="24"/>
          <w:szCs w:val="24"/>
        </w:rPr>
        <w:t xml:space="preserve"> and </w:t>
      </w:r>
      <w:hyperlink r:id="rId6" w:tooltip="Learn more about water uptake from ScienceDirect's AI-generated Topic Pages" w:history="1">
        <w:r w:rsidRPr="0051056F">
          <w:rPr>
            <w:rFonts w:ascii="Times New Roman" w:eastAsia="Times New Roman" w:hAnsi="Times New Roman" w:cs="Times New Roman"/>
            <w:color w:val="0000FF"/>
            <w:sz w:val="24"/>
            <w:szCs w:val="24"/>
            <w:u w:val="single"/>
          </w:rPr>
          <w:t>water uptake</w:t>
        </w:r>
      </w:hyperlink>
      <w:r w:rsidRPr="0051056F">
        <w:rPr>
          <w:rFonts w:ascii="Times New Roman" w:eastAsia="Times New Roman" w:hAnsi="Times New Roman" w:cs="Times New Roman"/>
          <w:sz w:val="24"/>
          <w:szCs w:val="24"/>
        </w:rPr>
        <w:t xml:space="preserve"> by the root system. The spatial and temporal trends of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H values are the reverse of the δ</w:t>
      </w:r>
      <w:r w:rsidRPr="0051056F">
        <w:rPr>
          <w:rFonts w:ascii="Times New Roman" w:eastAsia="Times New Roman" w:hAnsi="Times New Roman" w:cs="Times New Roman"/>
          <w:sz w:val="24"/>
          <w:szCs w:val="24"/>
          <w:vertAlign w:val="superscript"/>
        </w:rPr>
        <w:t>13</w:t>
      </w:r>
      <w:r w:rsidRPr="0051056F">
        <w:rPr>
          <w:rFonts w:ascii="Times New Roman" w:eastAsia="Times New Roman" w:hAnsi="Times New Roman" w:cs="Times New Roman"/>
          <w:sz w:val="24"/>
          <w:szCs w:val="24"/>
        </w:rPr>
        <w:t xml:space="preserve">C trends previously obtained for the same tree ring series. These coupled </w:t>
      </w:r>
      <w:hyperlink r:id="rId7" w:tooltip="Learn more about isotopic fractionations from ScienceDirect's AI-generated Topic Pages" w:history="1">
        <w:r w:rsidRPr="0051056F">
          <w:rPr>
            <w:rFonts w:ascii="Times New Roman" w:eastAsia="Times New Roman" w:hAnsi="Times New Roman" w:cs="Times New Roman"/>
            <w:color w:val="0000FF"/>
            <w:sz w:val="24"/>
            <w:szCs w:val="24"/>
            <w:u w:val="single"/>
          </w:rPr>
          <w:t>isotopic fractionations</w:t>
        </w:r>
      </w:hyperlink>
      <w:r w:rsidRPr="0051056F">
        <w:rPr>
          <w:rFonts w:ascii="Times New Roman" w:eastAsia="Times New Roman" w:hAnsi="Times New Roman" w:cs="Times New Roman"/>
          <w:sz w:val="24"/>
          <w:szCs w:val="24"/>
        </w:rPr>
        <w:t xml:space="preserve"> underline an important response of trees to pollution stresses likely generated by ambient atmospheric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concentrations. The degradation of global air quality during the last 150 </w:t>
      </w:r>
      <w:proofErr w:type="spellStart"/>
      <w:r w:rsidRPr="0051056F">
        <w:rPr>
          <w:rFonts w:ascii="Times New Roman" w:eastAsia="Times New Roman" w:hAnsi="Times New Roman" w:cs="Times New Roman"/>
          <w:sz w:val="24"/>
          <w:szCs w:val="24"/>
        </w:rPr>
        <w:t>yr</w:t>
      </w:r>
      <w:proofErr w:type="spellEnd"/>
      <w:r w:rsidRPr="0051056F">
        <w:rPr>
          <w:rFonts w:ascii="Times New Roman" w:eastAsia="Times New Roman" w:hAnsi="Times New Roman" w:cs="Times New Roman"/>
          <w:sz w:val="24"/>
          <w:szCs w:val="24"/>
        </w:rPr>
        <w:t xml:space="preserve"> likely generated large scale modifications in the way terrestrial vegetation grows. In this respect, hydrogen </w:t>
      </w:r>
      <w:proofErr w:type="spellStart"/>
      <w:r w:rsidRPr="0051056F">
        <w:rPr>
          <w:rFonts w:ascii="Times New Roman" w:eastAsia="Times New Roman" w:hAnsi="Times New Roman" w:cs="Times New Roman"/>
          <w:sz w:val="24"/>
          <w:szCs w:val="24"/>
        </w:rPr>
        <w:t>dendrogeochemistry</w:t>
      </w:r>
      <w:proofErr w:type="spellEnd"/>
      <w:r w:rsidRPr="0051056F">
        <w:rPr>
          <w:rFonts w:ascii="Times New Roman" w:eastAsia="Times New Roman" w:hAnsi="Times New Roman" w:cs="Times New Roman"/>
          <w:sz w:val="24"/>
          <w:szCs w:val="24"/>
        </w:rPr>
        <w:t xml:space="preserve"> combined with other tracers such as C </w:t>
      </w:r>
      <w:hyperlink r:id="rId8" w:tooltip="Learn more about isotope ratios from ScienceDirect's AI-generated Topic Pages" w:history="1">
        <w:r w:rsidRPr="0051056F">
          <w:rPr>
            <w:rFonts w:ascii="Times New Roman" w:eastAsia="Times New Roman" w:hAnsi="Times New Roman" w:cs="Times New Roman"/>
            <w:color w:val="0000FF"/>
            <w:sz w:val="24"/>
            <w:szCs w:val="24"/>
            <w:u w:val="single"/>
          </w:rPr>
          <w:t>isotope ratios</w:t>
        </w:r>
      </w:hyperlink>
      <w:r w:rsidRPr="0051056F">
        <w:rPr>
          <w:rFonts w:ascii="Times New Roman" w:eastAsia="Times New Roman" w:hAnsi="Times New Roman" w:cs="Times New Roman"/>
          <w:sz w:val="24"/>
          <w:szCs w:val="24"/>
        </w:rPr>
        <w:t xml:space="preserve"> constitutes a new tool to evaluate the past behavior of forest ecosystems in terms of C uptake and </w:t>
      </w:r>
      <w:hyperlink r:id="rId9" w:tooltip="Learn more about acclimation from ScienceDirect's AI-generated Topic Pages" w:history="1">
        <w:r w:rsidRPr="0051056F">
          <w:rPr>
            <w:rFonts w:ascii="Times New Roman" w:eastAsia="Times New Roman" w:hAnsi="Times New Roman" w:cs="Times New Roman"/>
            <w:color w:val="0000FF"/>
            <w:sz w:val="24"/>
            <w:szCs w:val="24"/>
            <w:u w:val="single"/>
          </w:rPr>
          <w:t>acclimation</w:t>
        </w:r>
      </w:hyperlink>
      <w:r w:rsidRPr="0051056F">
        <w:rPr>
          <w:rFonts w:ascii="Times New Roman" w:eastAsia="Times New Roman" w:hAnsi="Times New Roman" w:cs="Times New Roman"/>
          <w:sz w:val="24"/>
          <w:szCs w:val="24"/>
        </w:rPr>
        <w:t xml:space="preserve"> to various types of atmospheric pollution.</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Introduction</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 xml:space="preserve">Increased quantities of anthropogenic chemical species may create significant changes in the environment. The effects might be seen regionally, near pollutant sources such as populated areas and mining districts (e.g., Taylor et al., 1994), and globally, through atmospheric diffuse transport (Pham et al., 1996). This is particularly true in forests which constitute the most important carbon reservoir of the terrestrial biosphere. There is therefore a clear need to identify these effects on the forest ecosystem, and especially in the vicinity of mining districts, where there are important point sources of phytotoxic gases. A high-resolution monitoring method of these effects and of the changes in the terrestrial biosphere perhaps resides in using </w:t>
      </w:r>
      <w:proofErr w:type="spellStart"/>
      <w:r w:rsidRPr="0051056F">
        <w:rPr>
          <w:rFonts w:ascii="Times New Roman" w:eastAsia="Times New Roman" w:hAnsi="Times New Roman" w:cs="Times New Roman"/>
          <w:sz w:val="24"/>
          <w:szCs w:val="24"/>
        </w:rPr>
        <w:t>dendrogeochemistry</w:t>
      </w:r>
      <w:proofErr w:type="spellEnd"/>
      <w:r w:rsidRPr="0051056F">
        <w:rPr>
          <w:rFonts w:ascii="Times New Roman" w:eastAsia="Times New Roman" w:hAnsi="Times New Roman" w:cs="Times New Roman"/>
          <w:sz w:val="24"/>
          <w:szCs w:val="24"/>
        </w:rPr>
        <w:t xml:space="preserve"> because trees represent potential archives of environmental changes as their stem rings record geochemical, pedogenic and atmospheric conditions during the year they form.</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It has been demonstrated through greenhouse experiments that atmospheric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can create leaf injuries, induce stomatal closure and diminish the net C fixation in exposed plants (e.g., </w:t>
      </w:r>
      <w:proofErr w:type="spellStart"/>
      <w:r w:rsidRPr="0051056F">
        <w:rPr>
          <w:rFonts w:ascii="Times New Roman" w:eastAsia="Times New Roman" w:hAnsi="Times New Roman" w:cs="Times New Roman"/>
          <w:sz w:val="24"/>
          <w:szCs w:val="24"/>
        </w:rPr>
        <w:t>Linzon</w:t>
      </w:r>
      <w:proofErr w:type="spellEnd"/>
      <w:r w:rsidRPr="0051056F">
        <w:rPr>
          <w:rFonts w:ascii="Times New Roman" w:eastAsia="Times New Roman" w:hAnsi="Times New Roman" w:cs="Times New Roman"/>
          <w:sz w:val="24"/>
          <w:szCs w:val="24"/>
        </w:rPr>
        <w:t xml:space="preserve"> 1972, Ziegler 1973). Although climatic studies using dendrochronology are widespread, contributions addressing the impact of industrial activities on the growth of trees under field conditions are scarce. Only few studies have considered carbon isotope </w:t>
      </w:r>
      <w:proofErr w:type="spellStart"/>
      <w:r w:rsidRPr="0051056F">
        <w:rPr>
          <w:rFonts w:ascii="Times New Roman" w:eastAsia="Times New Roman" w:hAnsi="Times New Roman" w:cs="Times New Roman"/>
          <w:sz w:val="24"/>
          <w:szCs w:val="24"/>
        </w:rPr>
        <w:t>dendrogeochemistry</w:t>
      </w:r>
      <w:proofErr w:type="spellEnd"/>
      <w:r w:rsidRPr="0051056F">
        <w:rPr>
          <w:rFonts w:ascii="Times New Roman" w:eastAsia="Times New Roman" w:hAnsi="Times New Roman" w:cs="Times New Roman"/>
          <w:sz w:val="24"/>
          <w:szCs w:val="24"/>
        </w:rPr>
        <w:t xml:space="preserve"> as a potential register of air quality degradation, and noted δ</w:t>
      </w:r>
      <w:r w:rsidRPr="0051056F">
        <w:rPr>
          <w:rFonts w:ascii="Times New Roman" w:eastAsia="Times New Roman" w:hAnsi="Times New Roman" w:cs="Times New Roman"/>
          <w:sz w:val="24"/>
          <w:szCs w:val="24"/>
          <w:vertAlign w:val="superscript"/>
        </w:rPr>
        <w:t>13</w:t>
      </w:r>
      <w:r w:rsidRPr="0051056F">
        <w:rPr>
          <w:rFonts w:ascii="Times New Roman" w:eastAsia="Times New Roman" w:hAnsi="Times New Roman" w:cs="Times New Roman"/>
          <w:sz w:val="24"/>
          <w:szCs w:val="24"/>
        </w:rPr>
        <w:t xml:space="preserve">C increases (e.g., </w:t>
      </w:r>
      <w:proofErr w:type="spellStart"/>
      <w:r w:rsidRPr="0051056F">
        <w:rPr>
          <w:rFonts w:ascii="Times New Roman" w:eastAsia="Times New Roman" w:hAnsi="Times New Roman" w:cs="Times New Roman"/>
          <w:sz w:val="24"/>
          <w:szCs w:val="24"/>
        </w:rPr>
        <w:t>Freyer</w:t>
      </w:r>
      <w:proofErr w:type="spellEnd"/>
      <w:r w:rsidRPr="0051056F">
        <w:rPr>
          <w:rFonts w:ascii="Times New Roman" w:eastAsia="Times New Roman" w:hAnsi="Times New Roman" w:cs="Times New Roman"/>
          <w:sz w:val="24"/>
          <w:szCs w:val="24"/>
        </w:rPr>
        <w:t xml:space="preserve"> 1979, Martin and Sutherland 1990, Savard et al 2004). Hydrogen stable isotopes in trees have been used to investigate mechanisms of hydrogen assimilation (Flanagan et al 1991, </w:t>
      </w:r>
      <w:proofErr w:type="spellStart"/>
      <w:r w:rsidRPr="0051056F">
        <w:rPr>
          <w:rFonts w:ascii="Times New Roman" w:eastAsia="Times New Roman" w:hAnsi="Times New Roman" w:cs="Times New Roman"/>
          <w:sz w:val="24"/>
          <w:szCs w:val="24"/>
        </w:rPr>
        <w:t>Ehleringer</w:t>
      </w:r>
      <w:proofErr w:type="spellEnd"/>
      <w:r w:rsidRPr="0051056F">
        <w:rPr>
          <w:rFonts w:ascii="Times New Roman" w:eastAsia="Times New Roman" w:hAnsi="Times New Roman" w:cs="Times New Roman"/>
          <w:sz w:val="24"/>
          <w:szCs w:val="24"/>
        </w:rPr>
        <w:t xml:space="preserve"> and Dawson 1992, Dawson </w:t>
      </w:r>
      <w:r w:rsidRPr="0051056F">
        <w:rPr>
          <w:rFonts w:ascii="Times New Roman" w:eastAsia="Times New Roman" w:hAnsi="Times New Roman" w:cs="Times New Roman"/>
          <w:sz w:val="24"/>
          <w:szCs w:val="24"/>
        </w:rPr>
        <w:lastRenderedPageBreak/>
        <w:t>et al 1998) and plant physiologic functions (</w:t>
      </w:r>
      <w:proofErr w:type="spellStart"/>
      <w:r w:rsidRPr="0051056F">
        <w:rPr>
          <w:rFonts w:ascii="Times New Roman" w:eastAsia="Times New Roman" w:hAnsi="Times New Roman" w:cs="Times New Roman"/>
          <w:sz w:val="24"/>
          <w:szCs w:val="24"/>
        </w:rPr>
        <w:t>Yakir</w:t>
      </w:r>
      <w:proofErr w:type="spellEnd"/>
      <w:r w:rsidRPr="0051056F">
        <w:rPr>
          <w:rFonts w:ascii="Times New Roman" w:eastAsia="Times New Roman" w:hAnsi="Times New Roman" w:cs="Times New Roman"/>
          <w:sz w:val="24"/>
          <w:szCs w:val="24"/>
        </w:rPr>
        <w:t xml:space="preserve"> 1992, </w:t>
      </w:r>
      <w:proofErr w:type="spellStart"/>
      <w:r w:rsidRPr="0051056F">
        <w:rPr>
          <w:rFonts w:ascii="Times New Roman" w:eastAsia="Times New Roman" w:hAnsi="Times New Roman" w:cs="Times New Roman"/>
          <w:sz w:val="24"/>
          <w:szCs w:val="24"/>
        </w:rPr>
        <w:t>Schleucher</w:t>
      </w:r>
      <w:proofErr w:type="spellEnd"/>
      <w:r w:rsidRPr="0051056F">
        <w:rPr>
          <w:rFonts w:ascii="Times New Roman" w:eastAsia="Times New Roman" w:hAnsi="Times New Roman" w:cs="Times New Roman"/>
          <w:sz w:val="24"/>
          <w:szCs w:val="24"/>
        </w:rPr>
        <w:t xml:space="preserve"> 1998), to infer past changes of temperature (Feng and Epstein 1995, </w:t>
      </w:r>
      <w:proofErr w:type="spellStart"/>
      <w:r w:rsidRPr="0051056F">
        <w:rPr>
          <w:rFonts w:ascii="Times New Roman" w:eastAsia="Times New Roman" w:hAnsi="Times New Roman" w:cs="Times New Roman"/>
          <w:sz w:val="24"/>
          <w:szCs w:val="24"/>
        </w:rPr>
        <w:t>Lipp</w:t>
      </w:r>
      <w:proofErr w:type="spellEnd"/>
      <w:r w:rsidRPr="0051056F">
        <w:rPr>
          <w:rFonts w:ascii="Times New Roman" w:eastAsia="Times New Roman" w:hAnsi="Times New Roman" w:cs="Times New Roman"/>
          <w:sz w:val="24"/>
          <w:szCs w:val="24"/>
        </w:rPr>
        <w:t xml:space="preserve"> et al 1993), to reconstruct historical sequence of precipitation (Lawrence and White 1994, Feng et al 1999), and to discuss past changes in air humidity (</w:t>
      </w:r>
      <w:proofErr w:type="spellStart"/>
      <w:r w:rsidRPr="0051056F">
        <w:rPr>
          <w:rFonts w:ascii="Times New Roman" w:eastAsia="Times New Roman" w:hAnsi="Times New Roman" w:cs="Times New Roman"/>
          <w:sz w:val="24"/>
          <w:szCs w:val="24"/>
        </w:rPr>
        <w:t>Buhay</w:t>
      </w:r>
      <w:proofErr w:type="spellEnd"/>
      <w:r w:rsidRPr="0051056F">
        <w:rPr>
          <w:rFonts w:ascii="Times New Roman" w:eastAsia="Times New Roman" w:hAnsi="Times New Roman" w:cs="Times New Roman"/>
          <w:sz w:val="24"/>
          <w:szCs w:val="24"/>
        </w:rPr>
        <w:t xml:space="preserve"> and Edwards 1995, </w:t>
      </w:r>
      <w:proofErr w:type="spellStart"/>
      <w:r w:rsidRPr="0051056F">
        <w:rPr>
          <w:rFonts w:ascii="Times New Roman" w:eastAsia="Times New Roman" w:hAnsi="Times New Roman" w:cs="Times New Roman"/>
          <w:sz w:val="24"/>
          <w:szCs w:val="24"/>
        </w:rPr>
        <w:t>Lipp</w:t>
      </w:r>
      <w:proofErr w:type="spellEnd"/>
      <w:r w:rsidRPr="0051056F">
        <w:rPr>
          <w:rFonts w:ascii="Times New Roman" w:eastAsia="Times New Roman" w:hAnsi="Times New Roman" w:cs="Times New Roman"/>
          <w:sz w:val="24"/>
          <w:szCs w:val="24"/>
        </w:rPr>
        <w:t xml:space="preserve"> et al 1993). Overall, the most frequent use of </w:t>
      </w:r>
      <w:proofErr w:type="spellStart"/>
      <w:r w:rsidRPr="0051056F">
        <w:rPr>
          <w:rFonts w:ascii="Times New Roman" w:eastAsia="Times New Roman" w:hAnsi="Times New Roman" w:cs="Times New Roman"/>
          <w:sz w:val="24"/>
          <w:szCs w:val="24"/>
        </w:rPr>
        <w:t>dendroisotopic</w:t>
      </w:r>
      <w:proofErr w:type="spellEnd"/>
      <w:r w:rsidRPr="0051056F">
        <w:rPr>
          <w:rFonts w:ascii="Times New Roman" w:eastAsia="Times New Roman" w:hAnsi="Times New Roman" w:cs="Times New Roman"/>
          <w:sz w:val="24"/>
          <w:szCs w:val="24"/>
        </w:rPr>
        <w:t xml:space="preserve"> H series is for reconstruction of climate changes such as mean temperatures or amounts of precipitation because these conditions affect the isotopic signal of the source of water and the way trees consume soil water (e.g., Yapp and Epstein 1977, Yapp and Epstein 1982). Moreover, recent reviews expose the different factors influencing the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H values in dendrochronological series (e.g., Tang et al 2000, Waterhouse et al 2002), but none discusses the effect of pollutants on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H values of cellulose. Therefore, no previous research program has been undertaken to evaluate the impact of atmospheric pollutants on the fractionation of H fixed in tree stems.</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To assess the behavior of trees stressed by atmospheric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in field conditions, we investigated the area around the Horne foundry in Rouyn-Noranda (Québec), a copper smelting plant which has been emitting airborne metal particulates and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Previously published carbon isotope data for growth ring cellulose from trees at 9 km from the smelter show an abrupt positive shift right at the onset of smelter operations (Savard et al., 2002). The inverse correlation between changes in δ</w:t>
      </w:r>
      <w:r w:rsidRPr="0051056F">
        <w:rPr>
          <w:rFonts w:ascii="Times New Roman" w:eastAsia="Times New Roman" w:hAnsi="Times New Roman" w:cs="Times New Roman"/>
          <w:sz w:val="24"/>
          <w:szCs w:val="24"/>
          <w:vertAlign w:val="superscript"/>
        </w:rPr>
        <w:t>13</w:t>
      </w:r>
      <w:r w:rsidRPr="0051056F">
        <w:rPr>
          <w:rFonts w:ascii="Times New Roman" w:eastAsia="Times New Roman" w:hAnsi="Times New Roman" w:cs="Times New Roman"/>
          <w:sz w:val="24"/>
          <w:szCs w:val="24"/>
        </w:rPr>
        <w:t>C and air quality is explained by a stomatal reaction which diminishes the amount of CO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available within the leaves and lowers the discrimination against </w:t>
      </w:r>
      <w:r w:rsidRPr="0051056F">
        <w:rPr>
          <w:rFonts w:ascii="Times New Roman" w:eastAsia="Times New Roman" w:hAnsi="Times New Roman" w:cs="Times New Roman"/>
          <w:sz w:val="24"/>
          <w:szCs w:val="24"/>
          <w:vertAlign w:val="superscript"/>
        </w:rPr>
        <w:t>13</w:t>
      </w:r>
      <w:r w:rsidRPr="0051056F">
        <w:rPr>
          <w:rFonts w:ascii="Times New Roman" w:eastAsia="Times New Roman" w:hAnsi="Times New Roman" w:cs="Times New Roman"/>
          <w:sz w:val="24"/>
          <w:szCs w:val="24"/>
        </w:rPr>
        <w:t>C (Savard et al., 2004). Hydrogen within tree stems comes entirely from water drawn through the root system, a path very different from that used by CO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molecules. As explained above, a key question to address now is whether or not an isotope effect will be detected for H in the same tree ring samples, as H isotopes are potentially affected by changes in conductance, vapor saturation deficit and biosynthetic activities. The objectives of this paper are: (1) to assess if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H values in dendrochronological series express temporal and spatial responses to smelter-emitted contaminants in the Rouyn-Noranda mining district; (2) to compare the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H trends of the Rouyn-Noranda sites to those obtained for nonexposed trees from a control site 800 km north of the copper smelter, and from other areas of the northern hemisphere; (3) to compare the δ</w:t>
      </w:r>
      <w:r w:rsidRPr="0051056F">
        <w:rPr>
          <w:rFonts w:ascii="Times New Roman" w:eastAsia="Times New Roman" w:hAnsi="Times New Roman" w:cs="Times New Roman"/>
          <w:sz w:val="24"/>
          <w:szCs w:val="24"/>
          <w:vertAlign w:val="superscript"/>
        </w:rPr>
        <w:t>13</w:t>
      </w:r>
      <w:r w:rsidRPr="0051056F">
        <w:rPr>
          <w:rFonts w:ascii="Times New Roman" w:eastAsia="Times New Roman" w:hAnsi="Times New Roman" w:cs="Times New Roman"/>
          <w:sz w:val="24"/>
          <w:szCs w:val="24"/>
        </w:rPr>
        <w:t>C values previously reported on the trees in the exposed area to the newly obtained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H values; and (4) to discuss the sensitivity of hydrogen isotopes in stem cellulose to pollution stress.</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Section snippets</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Regional Environment</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The Horne copper smelter located in the town of Rouyn-Noranda began its operation in December 1927, and has been emitting fairly large quantities of airborne metal particulates and gases up until recently. Before the implementation of modern control measures, the Horne smelter was the most important source of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in the province of Québec (Dupont, 1997). A sulfuric acid plant was added to the Horne installations in 1989, to treat the SO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produced during smelting (</w:t>
      </w:r>
      <w:proofErr w:type="spellStart"/>
      <w:r w:rsidRPr="0051056F">
        <w:rPr>
          <w:rFonts w:ascii="Times New Roman" w:eastAsia="Times New Roman" w:hAnsi="Times New Roman" w:cs="Times New Roman"/>
          <w:sz w:val="24"/>
          <w:szCs w:val="24"/>
        </w:rPr>
        <w:t>Bédard</w:t>
      </w:r>
      <w:proofErr w:type="spellEnd"/>
      <w:r w:rsidRPr="0051056F">
        <w:rPr>
          <w:rFonts w:ascii="Times New Roman" w:eastAsia="Times New Roman" w:hAnsi="Times New Roman" w:cs="Times New Roman"/>
          <w:sz w:val="24"/>
          <w:szCs w:val="24"/>
        </w:rPr>
        <w:t xml:space="preserve"> et al., 1990). The</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Temporal Trends for Tree-Ring Series</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The temporal isotopic records obtained for the three trees at the test site correspond strongly (Fig. 2a); the statistical expressed population signal (EPS) or the quantified common signal (</w:t>
      </w:r>
      <w:proofErr w:type="spellStart"/>
      <w:r w:rsidRPr="0051056F">
        <w:rPr>
          <w:rFonts w:ascii="Times New Roman" w:eastAsia="Times New Roman" w:hAnsi="Times New Roman" w:cs="Times New Roman"/>
          <w:sz w:val="24"/>
          <w:szCs w:val="24"/>
        </w:rPr>
        <w:t>Briffa</w:t>
      </w:r>
      <w:proofErr w:type="spellEnd"/>
      <w:r w:rsidRPr="0051056F">
        <w:rPr>
          <w:rFonts w:ascii="Times New Roman" w:eastAsia="Times New Roman" w:hAnsi="Times New Roman" w:cs="Times New Roman"/>
          <w:sz w:val="24"/>
          <w:szCs w:val="24"/>
        </w:rPr>
        <w:t xml:space="preserve"> and Jones, 1989) for the three </w:t>
      </w:r>
      <w:proofErr w:type="spellStart"/>
      <w:r w:rsidRPr="0051056F">
        <w:rPr>
          <w:rFonts w:ascii="Times New Roman" w:eastAsia="Times New Roman" w:hAnsi="Times New Roman" w:cs="Times New Roman"/>
          <w:sz w:val="24"/>
          <w:szCs w:val="24"/>
        </w:rPr>
        <w:t>dendroisotopic</w:t>
      </w:r>
      <w:proofErr w:type="spellEnd"/>
      <w:r w:rsidRPr="0051056F">
        <w:rPr>
          <w:rFonts w:ascii="Times New Roman" w:eastAsia="Times New Roman" w:hAnsi="Times New Roman" w:cs="Times New Roman"/>
          <w:sz w:val="24"/>
          <w:szCs w:val="24"/>
        </w:rPr>
        <w:t xml:space="preserve"> series is 0.8, and the mean amplitude of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 xml:space="preserve">H variations is </w:t>
      </w:r>
      <w:r w:rsidRPr="0051056F">
        <w:rPr>
          <w:rFonts w:ascii="Times New Roman" w:eastAsia="Times New Roman" w:hAnsi="Times New Roman" w:cs="Times New Roman"/>
          <w:sz w:val="24"/>
          <w:szCs w:val="24"/>
        </w:rPr>
        <w:lastRenderedPageBreak/>
        <w:t xml:space="preserve">7‰. In fact, the </w:t>
      </w:r>
      <w:proofErr w:type="spellStart"/>
      <w:r w:rsidRPr="0051056F">
        <w:rPr>
          <w:rFonts w:ascii="Times New Roman" w:eastAsia="Times New Roman" w:hAnsi="Times New Roman" w:cs="Times New Roman"/>
          <w:sz w:val="24"/>
          <w:szCs w:val="24"/>
        </w:rPr>
        <w:t>dendroisotopic</w:t>
      </w:r>
      <w:proofErr w:type="spellEnd"/>
      <w:r w:rsidRPr="0051056F">
        <w:rPr>
          <w:rFonts w:ascii="Times New Roman" w:eastAsia="Times New Roman" w:hAnsi="Times New Roman" w:cs="Times New Roman"/>
          <w:sz w:val="24"/>
          <w:szCs w:val="24"/>
        </w:rPr>
        <w:t xml:space="preserve"> behavior at this site is characterized by two main features: short-term fluctuations (second order trend = 6 </w:t>
      </w:r>
      <w:proofErr w:type="spellStart"/>
      <w:r w:rsidRPr="0051056F">
        <w:rPr>
          <w:rFonts w:ascii="Times New Roman" w:eastAsia="Times New Roman" w:hAnsi="Times New Roman" w:cs="Times New Roman"/>
          <w:sz w:val="24"/>
          <w:szCs w:val="24"/>
        </w:rPr>
        <w:t>yr</w:t>
      </w:r>
      <w:proofErr w:type="spellEnd"/>
      <w:r w:rsidRPr="0051056F">
        <w:rPr>
          <w:rFonts w:ascii="Times New Roman" w:eastAsia="Times New Roman" w:hAnsi="Times New Roman" w:cs="Times New Roman"/>
          <w:sz w:val="24"/>
          <w:szCs w:val="24"/>
        </w:rPr>
        <w:t xml:space="preserve"> or less) overlapping on long-term changes (first</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Discussion</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There is a very strong inverse correlation of δ</w:t>
      </w:r>
      <w:r w:rsidRPr="0051056F">
        <w:rPr>
          <w:rFonts w:ascii="Times New Roman" w:eastAsia="Times New Roman" w:hAnsi="Times New Roman" w:cs="Times New Roman"/>
          <w:sz w:val="24"/>
          <w:szCs w:val="24"/>
          <w:vertAlign w:val="superscript"/>
        </w:rPr>
        <w:t>2</w:t>
      </w:r>
      <w:r w:rsidRPr="0051056F">
        <w:rPr>
          <w:rFonts w:ascii="Times New Roman" w:eastAsia="Times New Roman" w:hAnsi="Times New Roman" w:cs="Times New Roman"/>
          <w:sz w:val="24"/>
          <w:szCs w:val="24"/>
        </w:rPr>
        <w:t xml:space="preserve">H values at the test site with the smelter feed (Table 3). Note that the feed in millions of </w:t>
      </w:r>
      <w:proofErr w:type="spellStart"/>
      <w:r w:rsidRPr="0051056F">
        <w:rPr>
          <w:rFonts w:ascii="Times New Roman" w:eastAsia="Times New Roman" w:hAnsi="Times New Roman" w:cs="Times New Roman"/>
          <w:sz w:val="24"/>
          <w:szCs w:val="24"/>
        </w:rPr>
        <w:t>tonnes</w:t>
      </w:r>
      <w:proofErr w:type="spellEnd"/>
      <w:r w:rsidRPr="0051056F">
        <w:rPr>
          <w:rFonts w:ascii="Times New Roman" w:eastAsia="Times New Roman" w:hAnsi="Times New Roman" w:cs="Times New Roman"/>
          <w:sz w:val="24"/>
          <w:szCs w:val="24"/>
        </w:rPr>
        <w:t xml:space="preserve"> of solid material is used here as a proxy for the emissions. This is necessary as the emission data are not available for the pre-1965 period and this is rigorous because we previously established a correspondence between the feed and the emissions before 1990 (Savard et al., 2004). We therefore infer an inverse link between the atmospheric</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Conclusions</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Change in fractionation of hydrogen isotopes in trees exposed to airborne phytotoxic pollutants is demonstrated here for the first time. The lower evapotranspiration and gas exchange between leaves and air expressed by the data set, and perhaps a modification of the biochemical functions, also indicate that the CO</w:t>
      </w:r>
      <w:r w:rsidRPr="0051056F">
        <w:rPr>
          <w:rFonts w:ascii="Times New Roman" w:eastAsia="Times New Roman" w:hAnsi="Times New Roman" w:cs="Times New Roman"/>
          <w:sz w:val="24"/>
          <w:szCs w:val="24"/>
          <w:vertAlign w:val="subscript"/>
        </w:rPr>
        <w:t>2</w:t>
      </w:r>
      <w:r w:rsidRPr="0051056F">
        <w:rPr>
          <w:rFonts w:ascii="Times New Roman" w:eastAsia="Times New Roman" w:hAnsi="Times New Roman" w:cs="Times New Roman"/>
          <w:sz w:val="24"/>
          <w:szCs w:val="24"/>
        </w:rPr>
        <w:t xml:space="preserve"> uptake was lower during the 1930–1998 period. This supports our former interpretation of carbon isotope trends in terms of lowered photosynthetic function of trees exposed to</w:t>
      </w:r>
    </w:p>
    <w:p w:rsidR="0051056F" w:rsidRPr="0051056F" w:rsidRDefault="0051056F" w:rsidP="0051056F">
      <w:pPr>
        <w:spacing w:before="100" w:beforeAutospacing="1" w:after="100" w:afterAutospacing="1" w:line="240" w:lineRule="auto"/>
        <w:outlineLvl w:val="1"/>
        <w:rPr>
          <w:rFonts w:ascii="Times New Roman" w:eastAsia="Times New Roman" w:hAnsi="Times New Roman" w:cs="Times New Roman"/>
          <w:b/>
          <w:bCs/>
          <w:sz w:val="36"/>
          <w:szCs w:val="36"/>
        </w:rPr>
      </w:pPr>
      <w:r w:rsidRPr="0051056F">
        <w:rPr>
          <w:rFonts w:ascii="Times New Roman" w:eastAsia="Times New Roman" w:hAnsi="Times New Roman" w:cs="Times New Roman"/>
          <w:b/>
          <w:bCs/>
          <w:sz w:val="36"/>
          <w:szCs w:val="36"/>
        </w:rPr>
        <w:t>Acknowledgments</w:t>
      </w:r>
    </w:p>
    <w:p w:rsidR="0051056F" w:rsidRPr="0051056F" w:rsidRDefault="0051056F" w:rsidP="0051056F">
      <w:pPr>
        <w:spacing w:before="100" w:beforeAutospacing="1" w:after="100" w:afterAutospacing="1" w:line="240" w:lineRule="auto"/>
        <w:rPr>
          <w:rFonts w:ascii="Times New Roman" w:eastAsia="Times New Roman" w:hAnsi="Times New Roman" w:cs="Times New Roman"/>
          <w:sz w:val="24"/>
          <w:szCs w:val="24"/>
        </w:rPr>
      </w:pPr>
      <w:r w:rsidRPr="0051056F">
        <w:rPr>
          <w:rFonts w:ascii="Times New Roman" w:eastAsia="Times New Roman" w:hAnsi="Times New Roman" w:cs="Times New Roman"/>
          <w:sz w:val="24"/>
          <w:szCs w:val="24"/>
        </w:rPr>
        <w:t>This research project was financially supported by the MITE and Climate Change programs of the Earth Science Sector (</w:t>
      </w:r>
      <w:proofErr w:type="spellStart"/>
      <w:r w:rsidRPr="0051056F">
        <w:rPr>
          <w:rFonts w:ascii="Times New Roman" w:eastAsia="Times New Roman" w:hAnsi="Times New Roman" w:cs="Times New Roman"/>
          <w:sz w:val="24"/>
          <w:szCs w:val="24"/>
        </w:rPr>
        <w:t>NRCan</w:t>
      </w:r>
      <w:proofErr w:type="spellEnd"/>
      <w:r w:rsidRPr="0051056F">
        <w:rPr>
          <w:rFonts w:ascii="Times New Roman" w:eastAsia="Times New Roman" w:hAnsi="Times New Roman" w:cs="Times New Roman"/>
          <w:sz w:val="24"/>
          <w:szCs w:val="24"/>
        </w:rPr>
        <w:t xml:space="preserve">). Isomass Inc. kindly covered the cost for the analysis of hydrogen isotopes in a first tree with the online TC/EA-IRMS analytical system. We thank M. R. </w:t>
      </w:r>
      <w:proofErr w:type="spellStart"/>
      <w:r w:rsidRPr="0051056F">
        <w:rPr>
          <w:rFonts w:ascii="Times New Roman" w:eastAsia="Times New Roman" w:hAnsi="Times New Roman" w:cs="Times New Roman"/>
          <w:sz w:val="24"/>
          <w:szCs w:val="24"/>
        </w:rPr>
        <w:t>Luzincourt</w:t>
      </w:r>
      <w:proofErr w:type="spellEnd"/>
      <w:r w:rsidRPr="0051056F">
        <w:rPr>
          <w:rFonts w:ascii="Times New Roman" w:eastAsia="Times New Roman" w:hAnsi="Times New Roman" w:cs="Times New Roman"/>
          <w:sz w:val="24"/>
          <w:szCs w:val="24"/>
        </w:rPr>
        <w:t xml:space="preserve">, S. Boivin, J. Cloutier, M.-A. Dion, R. Gosselin, and Al. Smirnoff for technical assistance, Dr. P. </w:t>
      </w:r>
      <w:proofErr w:type="spellStart"/>
      <w:r w:rsidRPr="0051056F">
        <w:rPr>
          <w:rFonts w:ascii="Times New Roman" w:eastAsia="Times New Roman" w:hAnsi="Times New Roman" w:cs="Times New Roman"/>
          <w:sz w:val="24"/>
          <w:szCs w:val="24"/>
        </w:rPr>
        <w:t>Francus</w:t>
      </w:r>
      <w:proofErr w:type="spellEnd"/>
      <w:r w:rsidRPr="0051056F">
        <w:rPr>
          <w:rFonts w:ascii="Times New Roman" w:eastAsia="Times New Roman" w:hAnsi="Times New Roman" w:cs="Times New Roman"/>
          <w:sz w:val="24"/>
          <w:szCs w:val="24"/>
        </w:rPr>
        <w:t xml:space="preserve"> for a </w:t>
      </w:r>
      <w:proofErr w:type="spellStart"/>
      <w:r w:rsidRPr="0051056F">
        <w:rPr>
          <w:rFonts w:ascii="Times New Roman" w:eastAsia="Times New Roman" w:hAnsi="Times New Roman" w:cs="Times New Roman"/>
          <w:sz w:val="24"/>
          <w:szCs w:val="24"/>
        </w:rPr>
        <w:t>presubmission</w:t>
      </w:r>
      <w:proofErr w:type="spellEnd"/>
      <w:r w:rsidRPr="0051056F">
        <w:rPr>
          <w:rFonts w:ascii="Times New Roman" w:eastAsia="Times New Roman" w:hAnsi="Times New Roman" w:cs="Times New Roman"/>
          <w:sz w:val="24"/>
          <w:szCs w:val="24"/>
        </w:rPr>
        <w:t xml:space="preserve"> review of the manuscript. The authors would like to acknowledge also the</w:t>
      </w:r>
    </w:p>
    <w:p w:rsidR="00090AD0" w:rsidRDefault="00090AD0"/>
    <w:sectPr w:rsidR="00090AD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6F"/>
    <w:rsid w:val="00090AD0"/>
    <w:rsid w:val="00510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3C47"/>
  <w15:chartTrackingRefBased/>
  <w15:docId w15:val="{4C554C4E-0875-4794-A89C-8351C5BC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310916">
      <w:bodyDiv w:val="1"/>
      <w:marLeft w:val="0"/>
      <w:marRight w:val="0"/>
      <w:marTop w:val="0"/>
      <w:marBottom w:val="0"/>
      <w:divBdr>
        <w:top w:val="none" w:sz="0" w:space="0" w:color="auto"/>
        <w:left w:val="none" w:sz="0" w:space="0" w:color="auto"/>
        <w:bottom w:val="none" w:sz="0" w:space="0" w:color="auto"/>
        <w:right w:val="none" w:sz="0" w:space="0" w:color="auto"/>
      </w:divBdr>
      <w:divsChild>
        <w:div w:id="1801219572">
          <w:marLeft w:val="0"/>
          <w:marRight w:val="0"/>
          <w:marTop w:val="0"/>
          <w:marBottom w:val="0"/>
          <w:divBdr>
            <w:top w:val="none" w:sz="0" w:space="0" w:color="auto"/>
            <w:left w:val="none" w:sz="0" w:space="0" w:color="auto"/>
            <w:bottom w:val="none" w:sz="0" w:space="0" w:color="auto"/>
            <w:right w:val="none" w:sz="0" w:space="0" w:color="auto"/>
          </w:divBdr>
          <w:divsChild>
            <w:div w:id="203754386">
              <w:marLeft w:val="0"/>
              <w:marRight w:val="0"/>
              <w:marTop w:val="0"/>
              <w:marBottom w:val="0"/>
              <w:divBdr>
                <w:top w:val="none" w:sz="0" w:space="0" w:color="auto"/>
                <w:left w:val="none" w:sz="0" w:space="0" w:color="auto"/>
                <w:bottom w:val="none" w:sz="0" w:space="0" w:color="auto"/>
                <w:right w:val="none" w:sz="0" w:space="0" w:color="auto"/>
              </w:divBdr>
              <w:divsChild>
                <w:div w:id="477386028">
                  <w:marLeft w:val="0"/>
                  <w:marRight w:val="0"/>
                  <w:marTop w:val="0"/>
                  <w:marBottom w:val="0"/>
                  <w:divBdr>
                    <w:top w:val="none" w:sz="0" w:space="0" w:color="auto"/>
                    <w:left w:val="none" w:sz="0" w:space="0" w:color="auto"/>
                    <w:bottom w:val="none" w:sz="0" w:space="0" w:color="auto"/>
                    <w:right w:val="none" w:sz="0" w:space="0" w:color="auto"/>
                  </w:divBdr>
                  <w:divsChild>
                    <w:div w:id="154613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47595">
          <w:marLeft w:val="0"/>
          <w:marRight w:val="0"/>
          <w:marTop w:val="0"/>
          <w:marBottom w:val="0"/>
          <w:divBdr>
            <w:top w:val="none" w:sz="0" w:space="0" w:color="auto"/>
            <w:left w:val="none" w:sz="0" w:space="0" w:color="auto"/>
            <w:bottom w:val="none" w:sz="0" w:space="0" w:color="auto"/>
            <w:right w:val="none" w:sz="0" w:space="0" w:color="auto"/>
          </w:divBdr>
          <w:divsChild>
            <w:div w:id="237403904">
              <w:marLeft w:val="0"/>
              <w:marRight w:val="0"/>
              <w:marTop w:val="0"/>
              <w:marBottom w:val="0"/>
              <w:divBdr>
                <w:top w:val="none" w:sz="0" w:space="0" w:color="auto"/>
                <w:left w:val="none" w:sz="0" w:space="0" w:color="auto"/>
                <w:bottom w:val="none" w:sz="0" w:space="0" w:color="auto"/>
                <w:right w:val="none" w:sz="0" w:space="0" w:color="auto"/>
              </w:divBdr>
              <w:divsChild>
                <w:div w:id="1151480986">
                  <w:marLeft w:val="0"/>
                  <w:marRight w:val="0"/>
                  <w:marTop w:val="0"/>
                  <w:marBottom w:val="0"/>
                  <w:divBdr>
                    <w:top w:val="none" w:sz="0" w:space="0" w:color="auto"/>
                    <w:left w:val="none" w:sz="0" w:space="0" w:color="auto"/>
                    <w:bottom w:val="none" w:sz="0" w:space="0" w:color="auto"/>
                    <w:right w:val="none" w:sz="0" w:space="0" w:color="auto"/>
                  </w:divBdr>
                  <w:divsChild>
                    <w:div w:id="109432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795592">
          <w:marLeft w:val="0"/>
          <w:marRight w:val="0"/>
          <w:marTop w:val="0"/>
          <w:marBottom w:val="0"/>
          <w:divBdr>
            <w:top w:val="none" w:sz="0" w:space="0" w:color="auto"/>
            <w:left w:val="none" w:sz="0" w:space="0" w:color="auto"/>
            <w:bottom w:val="none" w:sz="0" w:space="0" w:color="auto"/>
            <w:right w:val="none" w:sz="0" w:space="0" w:color="auto"/>
          </w:divBdr>
          <w:divsChild>
            <w:div w:id="216622875">
              <w:marLeft w:val="0"/>
              <w:marRight w:val="0"/>
              <w:marTop w:val="0"/>
              <w:marBottom w:val="0"/>
              <w:divBdr>
                <w:top w:val="none" w:sz="0" w:space="0" w:color="auto"/>
                <w:left w:val="none" w:sz="0" w:space="0" w:color="auto"/>
                <w:bottom w:val="none" w:sz="0" w:space="0" w:color="auto"/>
                <w:right w:val="none" w:sz="0" w:space="0" w:color="auto"/>
              </w:divBdr>
            </w:div>
          </w:divsChild>
        </w:div>
        <w:div w:id="945962933">
          <w:marLeft w:val="0"/>
          <w:marRight w:val="0"/>
          <w:marTop w:val="0"/>
          <w:marBottom w:val="0"/>
          <w:divBdr>
            <w:top w:val="none" w:sz="0" w:space="0" w:color="auto"/>
            <w:left w:val="none" w:sz="0" w:space="0" w:color="auto"/>
            <w:bottom w:val="none" w:sz="0" w:space="0" w:color="auto"/>
            <w:right w:val="none" w:sz="0" w:space="0" w:color="auto"/>
          </w:divBdr>
          <w:divsChild>
            <w:div w:id="16384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isotope-ratios"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isotopic-fraction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water-uptak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biochemical-process" TargetMode="External"/><Relationship Id="rId10" Type="http://schemas.openxmlformats.org/officeDocument/2006/relationships/fontTable" Target="fontTable.xml"/><Relationship Id="rId4" Type="http://schemas.openxmlformats.org/officeDocument/2006/relationships/hyperlink" Target="https://doi.org/10.1016/j.gca.2005.03.046" TargetMode="External"/><Relationship Id="rId9" Type="http://schemas.openxmlformats.org/officeDocument/2006/relationships/hyperlink" Target="https://www.sciencedirect.com/topics/earth-and-planetary-sciences/acclimat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1445</Words>
  <Characters>8237</Characters>
  <Application>Microsoft Office Word</Application>
  <DocSecurity>0</DocSecurity>
  <Lines>68</Lines>
  <Paragraphs>19</Paragraphs>
  <ScaleCrop>false</ScaleCrop>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2023-11-18T04:36:00Z</dcterms:created>
  <dcterms:modified xsi:type="dcterms:W3CDTF">2023-11-18T04:37:00Z</dcterms:modified>
</cp:coreProperties>
</file>