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1056F" w:rsidRPr="0051056F" w:rsidRDefault="0051056F" w:rsidP="0051056F">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1056F">
        <w:rPr>
          <w:rFonts w:ascii="Times New Roman" w:eastAsia="Times New Roman" w:hAnsi="Times New Roman" w:cs="Times New Roman"/>
          <w:b/>
          <w:bCs/>
          <w:kern w:val="36"/>
          <w:sz w:val="48"/>
          <w:szCs w:val="48"/>
        </w:rPr>
        <w:t>Fractionation change of hydrogen isotopes in trees due to atmospheric pollutants</w:t>
      </w:r>
    </w:p>
    <w:p w:rsidR="0051056F" w:rsidRPr="0051056F" w:rsidRDefault="0051056F" w:rsidP="0051056F">
      <w:pPr>
        <w:spacing w:after="0" w:line="240" w:lineRule="auto"/>
        <w:rPr>
          <w:rFonts w:ascii="Times New Roman" w:eastAsia="Times New Roman" w:hAnsi="Times New Roman" w:cs="Times New Roman"/>
          <w:sz w:val="24"/>
          <w:szCs w:val="24"/>
        </w:rPr>
      </w:pPr>
      <w:r w:rsidRPr="0051056F">
        <w:rPr>
          <w:rFonts w:ascii="Times New Roman" w:eastAsia="Times New Roman" w:hAnsi="Times New Roman" w:cs="Times New Roman"/>
          <w:sz w:val="24"/>
          <w:szCs w:val="24"/>
        </w:rPr>
        <w:t>Author links open overlay panel</w:t>
      </w:r>
    </w:p>
    <w:p w:rsidR="0051056F" w:rsidRPr="0051056F" w:rsidRDefault="0051056F" w:rsidP="0051056F">
      <w:pPr>
        <w:spacing w:after="0" w:line="240" w:lineRule="auto"/>
        <w:rPr>
          <w:rFonts w:ascii="Times New Roman" w:eastAsia="Times New Roman" w:hAnsi="Times New Roman" w:cs="Times New Roman"/>
          <w:sz w:val="24"/>
          <w:szCs w:val="24"/>
        </w:rPr>
      </w:pPr>
      <w:r w:rsidRPr="0051056F">
        <w:rPr>
          <w:rFonts w:ascii="Times New Roman" w:eastAsia="Times New Roman" w:hAnsi="Times New Roman" w:cs="Times New Roman"/>
          <w:sz w:val="24"/>
          <w:szCs w:val="24"/>
        </w:rPr>
        <w:t xml:space="preserve">, , , , , </w:t>
      </w:r>
    </w:p>
    <w:p w:rsidR="0051056F" w:rsidRPr="0051056F" w:rsidRDefault="0051056F" w:rsidP="0051056F">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51056F">
          <w:rPr>
            <w:rFonts w:ascii="Times New Roman" w:eastAsia="Times New Roman" w:hAnsi="Times New Roman" w:cs="Times New Roman"/>
            <w:color w:val="0000FF"/>
            <w:sz w:val="24"/>
            <w:szCs w:val="24"/>
            <w:u w:val="single"/>
          </w:rPr>
          <w:t>https://doi.org/10.1016/j.gca.2005.03.046</w:t>
        </w:r>
      </w:hyperlink>
      <w:bookmarkStart w:id="0" w:name="_GoBack"/>
      <w:bookmarkEnd w:id="0"/>
      <w:r w:rsidRPr="0051056F">
        <w:rPr>
          <w:rFonts w:ascii="Times New Roman" w:eastAsia="Times New Roman" w:hAnsi="Times New Roman" w:cs="Times New Roman"/>
          <w:sz w:val="24"/>
          <w:szCs w:val="24"/>
        </w:rPr>
        <w:t xml:space="preserve"> </w:t>
      </w:r>
    </w:p>
    <w:p w:rsidR="0051056F" w:rsidRPr="0051056F" w:rsidRDefault="0051056F" w:rsidP="0051056F">
      <w:pPr>
        <w:spacing w:before="100" w:beforeAutospacing="1" w:after="100" w:afterAutospacing="1" w:line="240" w:lineRule="auto"/>
        <w:outlineLvl w:val="1"/>
        <w:rPr>
          <w:rFonts w:ascii="Times New Roman" w:eastAsia="Times New Roman" w:hAnsi="Times New Roman" w:cs="Times New Roman"/>
          <w:b/>
          <w:bCs/>
          <w:sz w:val="36"/>
          <w:szCs w:val="36"/>
        </w:rPr>
      </w:pPr>
      <w:r w:rsidRPr="0051056F">
        <w:rPr>
          <w:rFonts w:ascii="Times New Roman" w:eastAsia="Times New Roman" w:hAnsi="Times New Roman" w:cs="Times New Roman"/>
          <w:b/>
          <w:bCs/>
          <w:sz w:val="36"/>
          <w:szCs w:val="36"/>
        </w:rPr>
        <w:t>Abstract</w:t>
      </w:r>
    </w:p>
    <w:p w:rsidR="0051056F" w:rsidRPr="0051056F" w:rsidRDefault="0051056F" w:rsidP="0051056F">
      <w:pPr>
        <w:spacing w:before="100" w:beforeAutospacing="1" w:after="100" w:afterAutospacing="1" w:line="240" w:lineRule="auto"/>
        <w:rPr>
          <w:rFonts w:ascii="Times New Roman" w:eastAsia="Times New Roman" w:hAnsi="Times New Roman" w:cs="Times New Roman"/>
          <w:sz w:val="24"/>
          <w:szCs w:val="24"/>
        </w:rPr>
      </w:pPr>
      <w:r w:rsidRPr="0051056F">
        <w:rPr>
          <w:rFonts w:ascii="Times New Roman" w:eastAsia="Times New Roman" w:hAnsi="Times New Roman" w:cs="Times New Roman"/>
          <w:sz w:val="24"/>
          <w:szCs w:val="24"/>
        </w:rPr>
        <w:t>Atmospheric pollution effects on hydrogen fractionation in trees are demonstrated for the first time in this study. The δ</w:t>
      </w:r>
      <w:r w:rsidRPr="0051056F">
        <w:rPr>
          <w:rFonts w:ascii="Times New Roman" w:eastAsia="Times New Roman" w:hAnsi="Times New Roman" w:cs="Times New Roman"/>
          <w:sz w:val="24"/>
          <w:szCs w:val="24"/>
          <w:vertAlign w:val="superscript"/>
        </w:rPr>
        <w:t>2</w:t>
      </w:r>
      <w:r w:rsidRPr="0051056F">
        <w:rPr>
          <w:rFonts w:ascii="Times New Roman" w:eastAsia="Times New Roman" w:hAnsi="Times New Roman" w:cs="Times New Roman"/>
          <w:sz w:val="24"/>
          <w:szCs w:val="24"/>
        </w:rPr>
        <w:t>H ring-cellulose series obtained for black spruce trees at a site near a SO</w:t>
      </w:r>
      <w:r w:rsidRPr="0051056F">
        <w:rPr>
          <w:rFonts w:ascii="Times New Roman" w:eastAsia="Times New Roman" w:hAnsi="Times New Roman" w:cs="Times New Roman"/>
          <w:sz w:val="24"/>
          <w:szCs w:val="24"/>
          <w:vertAlign w:val="subscript"/>
        </w:rPr>
        <w:t>2</w:t>
      </w:r>
      <w:r w:rsidRPr="0051056F">
        <w:rPr>
          <w:rFonts w:ascii="Times New Roman" w:eastAsia="Times New Roman" w:hAnsi="Times New Roman" w:cs="Times New Roman"/>
          <w:sz w:val="24"/>
          <w:szCs w:val="24"/>
        </w:rPr>
        <w:t>-emitting smelter display short-term fluctuations superimposed on a first order −11‰ shift coincident with the onset of smelter operations. The isotopic depletion in trees exposed to various levels of SO</w:t>
      </w:r>
      <w:r w:rsidRPr="0051056F">
        <w:rPr>
          <w:rFonts w:ascii="Times New Roman" w:eastAsia="Times New Roman" w:hAnsi="Times New Roman" w:cs="Times New Roman"/>
          <w:sz w:val="24"/>
          <w:szCs w:val="24"/>
          <w:vertAlign w:val="subscript"/>
        </w:rPr>
        <w:t>2</w:t>
      </w:r>
      <w:r w:rsidRPr="0051056F">
        <w:rPr>
          <w:rFonts w:ascii="Times New Roman" w:eastAsia="Times New Roman" w:hAnsi="Times New Roman" w:cs="Times New Roman"/>
          <w:sz w:val="24"/>
          <w:szCs w:val="24"/>
        </w:rPr>
        <w:t xml:space="preserve"> diminish with increasing distance relative to the location of the smelter, and it is not detected at the most distant selected stand, 116 km downwind from the point source. Both the spatial and temporal isotopic trends likely result from the combined effects of leaf transpiration, </w:t>
      </w:r>
      <w:hyperlink r:id="rId5" w:tooltip="Learn more about biochemical processes from ScienceDirect's AI-generated Topic Pages" w:history="1">
        <w:r w:rsidRPr="0051056F">
          <w:rPr>
            <w:rFonts w:ascii="Times New Roman" w:eastAsia="Times New Roman" w:hAnsi="Times New Roman" w:cs="Times New Roman"/>
            <w:color w:val="0000FF"/>
            <w:sz w:val="24"/>
            <w:szCs w:val="24"/>
            <w:u w:val="single"/>
          </w:rPr>
          <w:t>biochemical processes</w:t>
        </w:r>
      </w:hyperlink>
      <w:r w:rsidRPr="0051056F">
        <w:rPr>
          <w:rFonts w:ascii="Times New Roman" w:eastAsia="Times New Roman" w:hAnsi="Times New Roman" w:cs="Times New Roman"/>
          <w:sz w:val="24"/>
          <w:szCs w:val="24"/>
        </w:rPr>
        <w:t xml:space="preserve"> and </w:t>
      </w:r>
      <w:hyperlink r:id="rId6" w:tooltip="Learn more about water uptake from ScienceDirect's AI-generated Topic Pages" w:history="1">
        <w:r w:rsidRPr="0051056F">
          <w:rPr>
            <w:rFonts w:ascii="Times New Roman" w:eastAsia="Times New Roman" w:hAnsi="Times New Roman" w:cs="Times New Roman"/>
            <w:color w:val="0000FF"/>
            <w:sz w:val="24"/>
            <w:szCs w:val="24"/>
            <w:u w:val="single"/>
          </w:rPr>
          <w:t>water uptake</w:t>
        </w:r>
      </w:hyperlink>
      <w:r w:rsidRPr="0051056F">
        <w:rPr>
          <w:rFonts w:ascii="Times New Roman" w:eastAsia="Times New Roman" w:hAnsi="Times New Roman" w:cs="Times New Roman"/>
          <w:sz w:val="24"/>
          <w:szCs w:val="24"/>
        </w:rPr>
        <w:t xml:space="preserve"> by the root system. The spatial and temporal trends of δ</w:t>
      </w:r>
      <w:r w:rsidRPr="0051056F">
        <w:rPr>
          <w:rFonts w:ascii="Times New Roman" w:eastAsia="Times New Roman" w:hAnsi="Times New Roman" w:cs="Times New Roman"/>
          <w:sz w:val="24"/>
          <w:szCs w:val="24"/>
          <w:vertAlign w:val="superscript"/>
        </w:rPr>
        <w:t>2</w:t>
      </w:r>
      <w:r w:rsidRPr="0051056F">
        <w:rPr>
          <w:rFonts w:ascii="Times New Roman" w:eastAsia="Times New Roman" w:hAnsi="Times New Roman" w:cs="Times New Roman"/>
          <w:sz w:val="24"/>
          <w:szCs w:val="24"/>
        </w:rPr>
        <w:t>H values are the reverse of the δ</w:t>
      </w:r>
      <w:r w:rsidRPr="0051056F">
        <w:rPr>
          <w:rFonts w:ascii="Times New Roman" w:eastAsia="Times New Roman" w:hAnsi="Times New Roman" w:cs="Times New Roman"/>
          <w:sz w:val="24"/>
          <w:szCs w:val="24"/>
          <w:vertAlign w:val="superscript"/>
        </w:rPr>
        <w:t>13</w:t>
      </w:r>
      <w:r w:rsidRPr="0051056F">
        <w:rPr>
          <w:rFonts w:ascii="Times New Roman" w:eastAsia="Times New Roman" w:hAnsi="Times New Roman" w:cs="Times New Roman"/>
          <w:sz w:val="24"/>
          <w:szCs w:val="24"/>
        </w:rPr>
        <w:t xml:space="preserve">C trends previously obtained for the same tree ring series. These coupled </w:t>
      </w:r>
      <w:hyperlink r:id="rId7" w:tooltip="Learn more about isotopic fractionations from ScienceDirect's AI-generated Topic Pages" w:history="1">
        <w:r w:rsidRPr="0051056F">
          <w:rPr>
            <w:rFonts w:ascii="Times New Roman" w:eastAsia="Times New Roman" w:hAnsi="Times New Roman" w:cs="Times New Roman"/>
            <w:color w:val="0000FF"/>
            <w:sz w:val="24"/>
            <w:szCs w:val="24"/>
            <w:u w:val="single"/>
          </w:rPr>
          <w:t>isotopic fractionations</w:t>
        </w:r>
      </w:hyperlink>
      <w:r w:rsidRPr="0051056F">
        <w:rPr>
          <w:rFonts w:ascii="Times New Roman" w:eastAsia="Times New Roman" w:hAnsi="Times New Roman" w:cs="Times New Roman"/>
          <w:sz w:val="24"/>
          <w:szCs w:val="24"/>
        </w:rPr>
        <w:t xml:space="preserve"> underline an important response of trees to pollution stresses likely generated by ambient atmospheric SO</w:t>
      </w:r>
      <w:r w:rsidRPr="0051056F">
        <w:rPr>
          <w:rFonts w:ascii="Times New Roman" w:eastAsia="Times New Roman" w:hAnsi="Times New Roman" w:cs="Times New Roman"/>
          <w:sz w:val="24"/>
          <w:szCs w:val="24"/>
          <w:vertAlign w:val="subscript"/>
        </w:rPr>
        <w:t>2</w:t>
      </w:r>
      <w:r w:rsidRPr="0051056F">
        <w:rPr>
          <w:rFonts w:ascii="Times New Roman" w:eastAsia="Times New Roman" w:hAnsi="Times New Roman" w:cs="Times New Roman"/>
          <w:sz w:val="24"/>
          <w:szCs w:val="24"/>
        </w:rPr>
        <w:t xml:space="preserve"> concentrations. The degradation of global air quality during the last 150 </w:t>
      </w:r>
      <w:proofErr w:type="spellStart"/>
      <w:r w:rsidRPr="0051056F">
        <w:rPr>
          <w:rFonts w:ascii="Times New Roman" w:eastAsia="Times New Roman" w:hAnsi="Times New Roman" w:cs="Times New Roman"/>
          <w:sz w:val="24"/>
          <w:szCs w:val="24"/>
        </w:rPr>
        <w:t>yr</w:t>
      </w:r>
      <w:proofErr w:type="spellEnd"/>
      <w:r w:rsidRPr="0051056F">
        <w:rPr>
          <w:rFonts w:ascii="Times New Roman" w:eastAsia="Times New Roman" w:hAnsi="Times New Roman" w:cs="Times New Roman"/>
          <w:sz w:val="24"/>
          <w:szCs w:val="24"/>
        </w:rPr>
        <w:t xml:space="preserve"> likely generated large scale modifications in the way terrestrial vegetation grows. In this respect, hydrogen </w:t>
      </w:r>
      <w:proofErr w:type="spellStart"/>
      <w:r w:rsidRPr="0051056F">
        <w:rPr>
          <w:rFonts w:ascii="Times New Roman" w:eastAsia="Times New Roman" w:hAnsi="Times New Roman" w:cs="Times New Roman"/>
          <w:sz w:val="24"/>
          <w:szCs w:val="24"/>
        </w:rPr>
        <w:t>dendrogeochemistry</w:t>
      </w:r>
      <w:proofErr w:type="spellEnd"/>
      <w:r w:rsidRPr="0051056F">
        <w:rPr>
          <w:rFonts w:ascii="Times New Roman" w:eastAsia="Times New Roman" w:hAnsi="Times New Roman" w:cs="Times New Roman"/>
          <w:sz w:val="24"/>
          <w:szCs w:val="24"/>
        </w:rPr>
        <w:t xml:space="preserve"> combined with other tracers such as C </w:t>
      </w:r>
      <w:hyperlink r:id="rId8" w:tooltip="Learn more about isotope ratios from ScienceDirect's AI-generated Topic Pages" w:history="1">
        <w:r w:rsidRPr="0051056F">
          <w:rPr>
            <w:rFonts w:ascii="Times New Roman" w:eastAsia="Times New Roman" w:hAnsi="Times New Roman" w:cs="Times New Roman"/>
            <w:color w:val="0000FF"/>
            <w:sz w:val="24"/>
            <w:szCs w:val="24"/>
            <w:u w:val="single"/>
          </w:rPr>
          <w:t>isotope ratios</w:t>
        </w:r>
      </w:hyperlink>
      <w:r w:rsidRPr="0051056F">
        <w:rPr>
          <w:rFonts w:ascii="Times New Roman" w:eastAsia="Times New Roman" w:hAnsi="Times New Roman" w:cs="Times New Roman"/>
          <w:sz w:val="24"/>
          <w:szCs w:val="24"/>
        </w:rPr>
        <w:t xml:space="preserve"> constitutes a new tool to evaluate the past behavior of forest ecosystems in terms of C uptake and </w:t>
      </w:r>
      <w:hyperlink r:id="rId9" w:tooltip="Learn more about acclimation from ScienceDirect's AI-generated Topic Pages" w:history="1">
        <w:r w:rsidRPr="0051056F">
          <w:rPr>
            <w:rFonts w:ascii="Times New Roman" w:eastAsia="Times New Roman" w:hAnsi="Times New Roman" w:cs="Times New Roman"/>
            <w:color w:val="0000FF"/>
            <w:sz w:val="24"/>
            <w:szCs w:val="24"/>
            <w:u w:val="single"/>
          </w:rPr>
          <w:t>acclimation</w:t>
        </w:r>
      </w:hyperlink>
      <w:r w:rsidRPr="0051056F">
        <w:rPr>
          <w:rFonts w:ascii="Times New Roman" w:eastAsia="Times New Roman" w:hAnsi="Times New Roman" w:cs="Times New Roman"/>
          <w:sz w:val="24"/>
          <w:szCs w:val="24"/>
        </w:rPr>
        <w:t xml:space="preserve"> to various types of atmospheric pollution.</w:t>
      </w:r>
    </w:p>
    <w:p w:rsidR="0051056F" w:rsidRPr="0051056F" w:rsidRDefault="0051056F" w:rsidP="0051056F">
      <w:pPr>
        <w:spacing w:before="100" w:beforeAutospacing="1" w:after="100" w:afterAutospacing="1" w:line="240" w:lineRule="auto"/>
        <w:outlineLvl w:val="1"/>
        <w:rPr>
          <w:rFonts w:ascii="Times New Roman" w:eastAsia="Times New Roman" w:hAnsi="Times New Roman" w:cs="Times New Roman"/>
          <w:b/>
          <w:bCs/>
          <w:sz w:val="36"/>
          <w:szCs w:val="36"/>
        </w:rPr>
      </w:pPr>
      <w:r w:rsidRPr="0051056F">
        <w:rPr>
          <w:rFonts w:ascii="Times New Roman" w:eastAsia="Times New Roman" w:hAnsi="Times New Roman" w:cs="Times New Roman"/>
          <w:b/>
          <w:bCs/>
          <w:sz w:val="36"/>
          <w:szCs w:val="36"/>
        </w:rPr>
        <w:t>Introduction</w:t>
      </w:r>
    </w:p>
    <w:p w:rsidR="0051056F" w:rsidRPr="0051056F" w:rsidRDefault="0051056F" w:rsidP="0051056F">
      <w:pPr>
        <w:spacing w:before="100" w:beforeAutospacing="1" w:after="100" w:afterAutospacing="1" w:line="240" w:lineRule="auto"/>
        <w:rPr>
          <w:rFonts w:ascii="Times New Roman" w:eastAsia="Times New Roman" w:hAnsi="Times New Roman" w:cs="Times New Roman"/>
          <w:sz w:val="24"/>
          <w:szCs w:val="24"/>
        </w:rPr>
      </w:pPr>
      <w:r w:rsidRPr="0051056F">
        <w:rPr>
          <w:rFonts w:ascii="Times New Roman" w:eastAsia="Times New Roman" w:hAnsi="Times New Roman" w:cs="Times New Roman"/>
          <w:sz w:val="24"/>
          <w:szCs w:val="24"/>
        </w:rPr>
        <w:t xml:space="preserve">Increased quantities of anthropogenic chemical species may create significant changes in the environment. The effects might be seen regionally, near pollutant sources such as populated areas and mining districts (e.g., Taylor et al., 1994), and globally, through atmospheric diffuse transport (Pham et al., 1996). This is particularly true in forests which constitute the most important carbon reservoir of the terrestrial biosphere. There is therefore a clear need to identify these effects on the forest ecosystem, and especially in the vicinity of mining districts, where there are important point sources of phytotoxic gases. A high-resolution monitoring method of these effects and of the changes in the terrestrial biosphere perhaps resides in using </w:t>
      </w:r>
      <w:proofErr w:type="spellStart"/>
      <w:r w:rsidRPr="0051056F">
        <w:rPr>
          <w:rFonts w:ascii="Times New Roman" w:eastAsia="Times New Roman" w:hAnsi="Times New Roman" w:cs="Times New Roman"/>
          <w:sz w:val="24"/>
          <w:szCs w:val="24"/>
        </w:rPr>
        <w:t>dendrogeochemistry</w:t>
      </w:r>
      <w:proofErr w:type="spellEnd"/>
      <w:r w:rsidRPr="0051056F">
        <w:rPr>
          <w:rFonts w:ascii="Times New Roman" w:eastAsia="Times New Roman" w:hAnsi="Times New Roman" w:cs="Times New Roman"/>
          <w:sz w:val="24"/>
          <w:szCs w:val="24"/>
        </w:rPr>
        <w:t xml:space="preserve"> because trees represent potential archives of environmental changes as their stem rings record geochemical, pedogenic and atmospheric conditions during the year they form.</w:t>
      </w:r>
    </w:p>
    <w:p w:rsidR="0051056F" w:rsidRPr="0051056F" w:rsidRDefault="0051056F" w:rsidP="0051056F">
      <w:pPr>
        <w:spacing w:before="100" w:beforeAutospacing="1" w:after="100" w:afterAutospacing="1" w:line="240" w:lineRule="auto"/>
        <w:rPr>
          <w:rFonts w:ascii="Times New Roman" w:eastAsia="Times New Roman" w:hAnsi="Times New Roman" w:cs="Times New Roman"/>
          <w:sz w:val="24"/>
          <w:szCs w:val="24"/>
        </w:rPr>
      </w:pPr>
      <w:r w:rsidRPr="0051056F">
        <w:rPr>
          <w:rFonts w:ascii="Times New Roman" w:eastAsia="Times New Roman" w:hAnsi="Times New Roman" w:cs="Times New Roman"/>
          <w:sz w:val="24"/>
          <w:szCs w:val="24"/>
        </w:rPr>
        <w:t>It has been demonstrated through greenhouse experiments that atmospheric SO</w:t>
      </w:r>
      <w:r w:rsidRPr="0051056F">
        <w:rPr>
          <w:rFonts w:ascii="Times New Roman" w:eastAsia="Times New Roman" w:hAnsi="Times New Roman" w:cs="Times New Roman"/>
          <w:sz w:val="24"/>
          <w:szCs w:val="24"/>
          <w:vertAlign w:val="subscript"/>
        </w:rPr>
        <w:t>2</w:t>
      </w:r>
      <w:r w:rsidRPr="0051056F">
        <w:rPr>
          <w:rFonts w:ascii="Times New Roman" w:eastAsia="Times New Roman" w:hAnsi="Times New Roman" w:cs="Times New Roman"/>
          <w:sz w:val="24"/>
          <w:szCs w:val="24"/>
        </w:rPr>
        <w:t xml:space="preserve"> can create leaf injuries, induce stomatal closure and diminish the net C fixation in exposed plants (e.g., </w:t>
      </w:r>
      <w:proofErr w:type="spellStart"/>
      <w:r w:rsidRPr="0051056F">
        <w:rPr>
          <w:rFonts w:ascii="Times New Roman" w:eastAsia="Times New Roman" w:hAnsi="Times New Roman" w:cs="Times New Roman"/>
          <w:sz w:val="24"/>
          <w:szCs w:val="24"/>
        </w:rPr>
        <w:t>Linzon</w:t>
      </w:r>
      <w:proofErr w:type="spellEnd"/>
      <w:r w:rsidRPr="0051056F">
        <w:rPr>
          <w:rFonts w:ascii="Times New Roman" w:eastAsia="Times New Roman" w:hAnsi="Times New Roman" w:cs="Times New Roman"/>
          <w:sz w:val="24"/>
          <w:szCs w:val="24"/>
        </w:rPr>
        <w:t xml:space="preserve"> 1972, Ziegler 1973). Although climatic studies using dendrochronology are widespread, contributions addressing the impact of industrial activities on the growth of trees under field conditions are scarce. Only few studies have considered carbon isotope </w:t>
      </w:r>
      <w:proofErr w:type="spellStart"/>
      <w:r w:rsidRPr="0051056F">
        <w:rPr>
          <w:rFonts w:ascii="Times New Roman" w:eastAsia="Times New Roman" w:hAnsi="Times New Roman" w:cs="Times New Roman"/>
          <w:sz w:val="24"/>
          <w:szCs w:val="24"/>
        </w:rPr>
        <w:t>dendrogeochemistry</w:t>
      </w:r>
      <w:proofErr w:type="spellEnd"/>
      <w:r w:rsidRPr="0051056F">
        <w:rPr>
          <w:rFonts w:ascii="Times New Roman" w:eastAsia="Times New Roman" w:hAnsi="Times New Roman" w:cs="Times New Roman"/>
          <w:sz w:val="24"/>
          <w:szCs w:val="24"/>
        </w:rPr>
        <w:t xml:space="preserve"> as a potential register of air quality degradation, and noted δ</w:t>
      </w:r>
      <w:r w:rsidRPr="0051056F">
        <w:rPr>
          <w:rFonts w:ascii="Times New Roman" w:eastAsia="Times New Roman" w:hAnsi="Times New Roman" w:cs="Times New Roman"/>
          <w:sz w:val="24"/>
          <w:szCs w:val="24"/>
          <w:vertAlign w:val="superscript"/>
        </w:rPr>
        <w:t>13</w:t>
      </w:r>
      <w:r w:rsidRPr="0051056F">
        <w:rPr>
          <w:rFonts w:ascii="Times New Roman" w:eastAsia="Times New Roman" w:hAnsi="Times New Roman" w:cs="Times New Roman"/>
          <w:sz w:val="24"/>
          <w:szCs w:val="24"/>
        </w:rPr>
        <w:t xml:space="preserve">C increases (e.g., </w:t>
      </w:r>
      <w:proofErr w:type="spellStart"/>
      <w:r w:rsidRPr="0051056F">
        <w:rPr>
          <w:rFonts w:ascii="Times New Roman" w:eastAsia="Times New Roman" w:hAnsi="Times New Roman" w:cs="Times New Roman"/>
          <w:sz w:val="24"/>
          <w:szCs w:val="24"/>
        </w:rPr>
        <w:t>Freyer</w:t>
      </w:r>
      <w:proofErr w:type="spellEnd"/>
      <w:r w:rsidRPr="0051056F">
        <w:rPr>
          <w:rFonts w:ascii="Times New Roman" w:eastAsia="Times New Roman" w:hAnsi="Times New Roman" w:cs="Times New Roman"/>
          <w:sz w:val="24"/>
          <w:szCs w:val="24"/>
        </w:rPr>
        <w:t xml:space="preserve"> 1979, Martin and Sutherland 1990, Savard et al 2004). Hydrogen stable isotopes in trees have been used to investigate mechanisms of hydrogen assimilation (Flanagan et al 1991, </w:t>
      </w:r>
      <w:proofErr w:type="spellStart"/>
      <w:r w:rsidRPr="0051056F">
        <w:rPr>
          <w:rFonts w:ascii="Times New Roman" w:eastAsia="Times New Roman" w:hAnsi="Times New Roman" w:cs="Times New Roman"/>
          <w:sz w:val="24"/>
          <w:szCs w:val="24"/>
        </w:rPr>
        <w:t>Ehleringer</w:t>
      </w:r>
      <w:proofErr w:type="spellEnd"/>
      <w:r w:rsidRPr="0051056F">
        <w:rPr>
          <w:rFonts w:ascii="Times New Roman" w:eastAsia="Times New Roman" w:hAnsi="Times New Roman" w:cs="Times New Roman"/>
          <w:sz w:val="24"/>
          <w:szCs w:val="24"/>
        </w:rPr>
        <w:t xml:space="preserve"> and Dawson 1992, Dawson </w:t>
      </w:r>
      <w:r w:rsidRPr="0051056F">
        <w:rPr>
          <w:rFonts w:ascii="Times New Roman" w:eastAsia="Times New Roman" w:hAnsi="Times New Roman" w:cs="Times New Roman"/>
          <w:sz w:val="24"/>
          <w:szCs w:val="24"/>
        </w:rPr>
        <w:lastRenderedPageBreak/>
        <w:t>et al 1998) and plant physiologic functions (</w:t>
      </w:r>
      <w:proofErr w:type="spellStart"/>
      <w:r w:rsidRPr="0051056F">
        <w:rPr>
          <w:rFonts w:ascii="Times New Roman" w:eastAsia="Times New Roman" w:hAnsi="Times New Roman" w:cs="Times New Roman"/>
          <w:sz w:val="24"/>
          <w:szCs w:val="24"/>
        </w:rPr>
        <w:t>Yakir</w:t>
      </w:r>
      <w:proofErr w:type="spellEnd"/>
      <w:r w:rsidRPr="0051056F">
        <w:rPr>
          <w:rFonts w:ascii="Times New Roman" w:eastAsia="Times New Roman" w:hAnsi="Times New Roman" w:cs="Times New Roman"/>
          <w:sz w:val="24"/>
          <w:szCs w:val="24"/>
        </w:rPr>
        <w:t xml:space="preserve"> 1992, </w:t>
      </w:r>
      <w:proofErr w:type="spellStart"/>
      <w:r w:rsidRPr="0051056F">
        <w:rPr>
          <w:rFonts w:ascii="Times New Roman" w:eastAsia="Times New Roman" w:hAnsi="Times New Roman" w:cs="Times New Roman"/>
          <w:sz w:val="24"/>
          <w:szCs w:val="24"/>
        </w:rPr>
        <w:t>Schleucher</w:t>
      </w:r>
      <w:proofErr w:type="spellEnd"/>
      <w:r w:rsidRPr="0051056F">
        <w:rPr>
          <w:rFonts w:ascii="Times New Roman" w:eastAsia="Times New Roman" w:hAnsi="Times New Roman" w:cs="Times New Roman"/>
          <w:sz w:val="24"/>
          <w:szCs w:val="24"/>
        </w:rPr>
        <w:t xml:space="preserve"> 1998), to infer past changes of temperature (Feng and Epstein 1995, </w:t>
      </w:r>
      <w:proofErr w:type="spellStart"/>
      <w:r w:rsidRPr="0051056F">
        <w:rPr>
          <w:rFonts w:ascii="Times New Roman" w:eastAsia="Times New Roman" w:hAnsi="Times New Roman" w:cs="Times New Roman"/>
          <w:sz w:val="24"/>
          <w:szCs w:val="24"/>
        </w:rPr>
        <w:t>Lipp</w:t>
      </w:r>
      <w:proofErr w:type="spellEnd"/>
      <w:r w:rsidRPr="0051056F">
        <w:rPr>
          <w:rFonts w:ascii="Times New Roman" w:eastAsia="Times New Roman" w:hAnsi="Times New Roman" w:cs="Times New Roman"/>
          <w:sz w:val="24"/>
          <w:szCs w:val="24"/>
        </w:rPr>
        <w:t xml:space="preserve"> et al 1993), to reconstruct historical sequence of precipitation (Lawrence and White 1994, Feng et al 1999), and to discuss past changes in air humidity (</w:t>
      </w:r>
      <w:proofErr w:type="spellStart"/>
      <w:r w:rsidRPr="0051056F">
        <w:rPr>
          <w:rFonts w:ascii="Times New Roman" w:eastAsia="Times New Roman" w:hAnsi="Times New Roman" w:cs="Times New Roman"/>
          <w:sz w:val="24"/>
          <w:szCs w:val="24"/>
        </w:rPr>
        <w:t>Buhay</w:t>
      </w:r>
      <w:proofErr w:type="spellEnd"/>
      <w:r w:rsidRPr="0051056F">
        <w:rPr>
          <w:rFonts w:ascii="Times New Roman" w:eastAsia="Times New Roman" w:hAnsi="Times New Roman" w:cs="Times New Roman"/>
          <w:sz w:val="24"/>
          <w:szCs w:val="24"/>
        </w:rPr>
        <w:t xml:space="preserve"> and Edwards 1995, </w:t>
      </w:r>
      <w:proofErr w:type="spellStart"/>
      <w:r w:rsidRPr="0051056F">
        <w:rPr>
          <w:rFonts w:ascii="Times New Roman" w:eastAsia="Times New Roman" w:hAnsi="Times New Roman" w:cs="Times New Roman"/>
          <w:sz w:val="24"/>
          <w:szCs w:val="24"/>
        </w:rPr>
        <w:t>Lipp</w:t>
      </w:r>
      <w:proofErr w:type="spellEnd"/>
      <w:r w:rsidRPr="0051056F">
        <w:rPr>
          <w:rFonts w:ascii="Times New Roman" w:eastAsia="Times New Roman" w:hAnsi="Times New Roman" w:cs="Times New Roman"/>
          <w:sz w:val="24"/>
          <w:szCs w:val="24"/>
        </w:rPr>
        <w:t xml:space="preserve"> et al 1993). Overall, the most frequent use of </w:t>
      </w:r>
      <w:proofErr w:type="spellStart"/>
      <w:r w:rsidRPr="0051056F">
        <w:rPr>
          <w:rFonts w:ascii="Times New Roman" w:eastAsia="Times New Roman" w:hAnsi="Times New Roman" w:cs="Times New Roman"/>
          <w:sz w:val="24"/>
          <w:szCs w:val="24"/>
        </w:rPr>
        <w:t>dendroisotopic</w:t>
      </w:r>
      <w:proofErr w:type="spellEnd"/>
      <w:r w:rsidRPr="0051056F">
        <w:rPr>
          <w:rFonts w:ascii="Times New Roman" w:eastAsia="Times New Roman" w:hAnsi="Times New Roman" w:cs="Times New Roman"/>
          <w:sz w:val="24"/>
          <w:szCs w:val="24"/>
        </w:rPr>
        <w:t xml:space="preserve"> H series is for reconstruction of climate changes such as mean temperatures or amounts of precipitation because these conditions affect the isotopic signal of the source of water and the way trees consume soil water (e.g., Yapp and Epstein 1977, Yapp and Epstein 1982). Moreover, recent reviews expose the different factors influencing the δ</w:t>
      </w:r>
      <w:r w:rsidRPr="0051056F">
        <w:rPr>
          <w:rFonts w:ascii="Times New Roman" w:eastAsia="Times New Roman" w:hAnsi="Times New Roman" w:cs="Times New Roman"/>
          <w:sz w:val="24"/>
          <w:szCs w:val="24"/>
          <w:vertAlign w:val="superscript"/>
        </w:rPr>
        <w:t>2</w:t>
      </w:r>
      <w:r w:rsidRPr="0051056F">
        <w:rPr>
          <w:rFonts w:ascii="Times New Roman" w:eastAsia="Times New Roman" w:hAnsi="Times New Roman" w:cs="Times New Roman"/>
          <w:sz w:val="24"/>
          <w:szCs w:val="24"/>
        </w:rPr>
        <w:t>H values in dendrochronological series (e.g., Tang et al 2000, Waterhouse et al 2002), but none discusses the effect of pollutants on δ</w:t>
      </w:r>
      <w:r w:rsidRPr="0051056F">
        <w:rPr>
          <w:rFonts w:ascii="Times New Roman" w:eastAsia="Times New Roman" w:hAnsi="Times New Roman" w:cs="Times New Roman"/>
          <w:sz w:val="24"/>
          <w:szCs w:val="24"/>
          <w:vertAlign w:val="superscript"/>
        </w:rPr>
        <w:t>2</w:t>
      </w:r>
      <w:r w:rsidRPr="0051056F">
        <w:rPr>
          <w:rFonts w:ascii="Times New Roman" w:eastAsia="Times New Roman" w:hAnsi="Times New Roman" w:cs="Times New Roman"/>
          <w:sz w:val="24"/>
          <w:szCs w:val="24"/>
        </w:rPr>
        <w:t>H values of cellulose. Therefore, no previous research program has been undertaken to evaluate the impact of atmospheric pollutants on the fractionation of H fixed in tree stems.</w:t>
      </w:r>
    </w:p>
    <w:p w:rsidR="0051056F" w:rsidRPr="0051056F" w:rsidRDefault="0051056F" w:rsidP="0051056F">
      <w:pPr>
        <w:spacing w:before="100" w:beforeAutospacing="1" w:after="100" w:afterAutospacing="1" w:line="240" w:lineRule="auto"/>
        <w:rPr>
          <w:rFonts w:ascii="Times New Roman" w:eastAsia="Times New Roman" w:hAnsi="Times New Roman" w:cs="Times New Roman"/>
          <w:sz w:val="24"/>
          <w:szCs w:val="24"/>
        </w:rPr>
      </w:pPr>
      <w:r w:rsidRPr="0051056F">
        <w:rPr>
          <w:rFonts w:ascii="Times New Roman" w:eastAsia="Times New Roman" w:hAnsi="Times New Roman" w:cs="Times New Roman"/>
          <w:sz w:val="24"/>
          <w:szCs w:val="24"/>
        </w:rPr>
        <w:t>To assess the behavior of trees stressed by atmospheric SO</w:t>
      </w:r>
      <w:r w:rsidRPr="0051056F">
        <w:rPr>
          <w:rFonts w:ascii="Times New Roman" w:eastAsia="Times New Roman" w:hAnsi="Times New Roman" w:cs="Times New Roman"/>
          <w:sz w:val="24"/>
          <w:szCs w:val="24"/>
          <w:vertAlign w:val="subscript"/>
        </w:rPr>
        <w:t>2</w:t>
      </w:r>
      <w:r w:rsidRPr="0051056F">
        <w:rPr>
          <w:rFonts w:ascii="Times New Roman" w:eastAsia="Times New Roman" w:hAnsi="Times New Roman" w:cs="Times New Roman"/>
          <w:sz w:val="24"/>
          <w:szCs w:val="24"/>
        </w:rPr>
        <w:t xml:space="preserve"> in field conditions, we investigated the area around the Horne foundry in Rouyn-Noranda (Québec), a copper smelting plant which has been emitting airborne metal particulates and SO</w:t>
      </w:r>
      <w:r w:rsidRPr="0051056F">
        <w:rPr>
          <w:rFonts w:ascii="Times New Roman" w:eastAsia="Times New Roman" w:hAnsi="Times New Roman" w:cs="Times New Roman"/>
          <w:sz w:val="24"/>
          <w:szCs w:val="24"/>
          <w:vertAlign w:val="subscript"/>
        </w:rPr>
        <w:t>2</w:t>
      </w:r>
      <w:r w:rsidRPr="0051056F">
        <w:rPr>
          <w:rFonts w:ascii="Times New Roman" w:eastAsia="Times New Roman" w:hAnsi="Times New Roman" w:cs="Times New Roman"/>
          <w:sz w:val="24"/>
          <w:szCs w:val="24"/>
        </w:rPr>
        <w:t>. Previously published carbon isotope data for growth ring cellulose from trees at 9 km from the smelter show an abrupt positive shift right at the onset of smelter operations (Savard et al., 2002). The inverse correlation between changes in δ</w:t>
      </w:r>
      <w:r w:rsidRPr="0051056F">
        <w:rPr>
          <w:rFonts w:ascii="Times New Roman" w:eastAsia="Times New Roman" w:hAnsi="Times New Roman" w:cs="Times New Roman"/>
          <w:sz w:val="24"/>
          <w:szCs w:val="24"/>
          <w:vertAlign w:val="superscript"/>
        </w:rPr>
        <w:t>13</w:t>
      </w:r>
      <w:r w:rsidRPr="0051056F">
        <w:rPr>
          <w:rFonts w:ascii="Times New Roman" w:eastAsia="Times New Roman" w:hAnsi="Times New Roman" w:cs="Times New Roman"/>
          <w:sz w:val="24"/>
          <w:szCs w:val="24"/>
        </w:rPr>
        <w:t>C and air quality is explained by a stomatal reaction which diminishes the amount of CO</w:t>
      </w:r>
      <w:r w:rsidRPr="0051056F">
        <w:rPr>
          <w:rFonts w:ascii="Times New Roman" w:eastAsia="Times New Roman" w:hAnsi="Times New Roman" w:cs="Times New Roman"/>
          <w:sz w:val="24"/>
          <w:szCs w:val="24"/>
          <w:vertAlign w:val="subscript"/>
        </w:rPr>
        <w:t>2</w:t>
      </w:r>
      <w:r w:rsidRPr="0051056F">
        <w:rPr>
          <w:rFonts w:ascii="Times New Roman" w:eastAsia="Times New Roman" w:hAnsi="Times New Roman" w:cs="Times New Roman"/>
          <w:sz w:val="24"/>
          <w:szCs w:val="24"/>
        </w:rPr>
        <w:t xml:space="preserve"> available within the leaves and lowers the discrimination against </w:t>
      </w:r>
      <w:r w:rsidRPr="0051056F">
        <w:rPr>
          <w:rFonts w:ascii="Times New Roman" w:eastAsia="Times New Roman" w:hAnsi="Times New Roman" w:cs="Times New Roman"/>
          <w:sz w:val="24"/>
          <w:szCs w:val="24"/>
          <w:vertAlign w:val="superscript"/>
        </w:rPr>
        <w:t>13</w:t>
      </w:r>
      <w:r w:rsidRPr="0051056F">
        <w:rPr>
          <w:rFonts w:ascii="Times New Roman" w:eastAsia="Times New Roman" w:hAnsi="Times New Roman" w:cs="Times New Roman"/>
          <w:sz w:val="24"/>
          <w:szCs w:val="24"/>
        </w:rPr>
        <w:t>C (Savard et al., 2004). Hydrogen within tree stems comes entirely from water drawn through the root system, a path very different from that used by CO</w:t>
      </w:r>
      <w:r w:rsidRPr="0051056F">
        <w:rPr>
          <w:rFonts w:ascii="Times New Roman" w:eastAsia="Times New Roman" w:hAnsi="Times New Roman" w:cs="Times New Roman"/>
          <w:sz w:val="24"/>
          <w:szCs w:val="24"/>
          <w:vertAlign w:val="subscript"/>
        </w:rPr>
        <w:t>2</w:t>
      </w:r>
      <w:r w:rsidRPr="0051056F">
        <w:rPr>
          <w:rFonts w:ascii="Times New Roman" w:eastAsia="Times New Roman" w:hAnsi="Times New Roman" w:cs="Times New Roman"/>
          <w:sz w:val="24"/>
          <w:szCs w:val="24"/>
        </w:rPr>
        <w:t xml:space="preserve"> molecules. As explained above, a key question to address now is whether or not an isotope effect will be detected for H in the same tree ring samples, as H isotopes are potentially affected by changes in conductance, vapor saturation deficit and biosynthetic activities. The objectives of this paper are: (1) to assess if δ</w:t>
      </w:r>
      <w:r w:rsidRPr="0051056F">
        <w:rPr>
          <w:rFonts w:ascii="Times New Roman" w:eastAsia="Times New Roman" w:hAnsi="Times New Roman" w:cs="Times New Roman"/>
          <w:sz w:val="24"/>
          <w:szCs w:val="24"/>
          <w:vertAlign w:val="superscript"/>
        </w:rPr>
        <w:t>2</w:t>
      </w:r>
      <w:r w:rsidRPr="0051056F">
        <w:rPr>
          <w:rFonts w:ascii="Times New Roman" w:eastAsia="Times New Roman" w:hAnsi="Times New Roman" w:cs="Times New Roman"/>
          <w:sz w:val="24"/>
          <w:szCs w:val="24"/>
        </w:rPr>
        <w:t>H values in dendrochronological series express temporal and spatial responses to smelter-emitted contaminants in the Rouyn-Noranda mining district; (2) to compare the δ</w:t>
      </w:r>
      <w:r w:rsidRPr="0051056F">
        <w:rPr>
          <w:rFonts w:ascii="Times New Roman" w:eastAsia="Times New Roman" w:hAnsi="Times New Roman" w:cs="Times New Roman"/>
          <w:sz w:val="24"/>
          <w:szCs w:val="24"/>
          <w:vertAlign w:val="superscript"/>
        </w:rPr>
        <w:t>2</w:t>
      </w:r>
      <w:r w:rsidRPr="0051056F">
        <w:rPr>
          <w:rFonts w:ascii="Times New Roman" w:eastAsia="Times New Roman" w:hAnsi="Times New Roman" w:cs="Times New Roman"/>
          <w:sz w:val="24"/>
          <w:szCs w:val="24"/>
        </w:rPr>
        <w:t>H trends of the Rouyn-Noranda sites to those obtained for nonexposed trees from a control site 800 km north of the copper smelter, and from other areas of the northern hemisphere; (3) to compare the δ</w:t>
      </w:r>
      <w:r w:rsidRPr="0051056F">
        <w:rPr>
          <w:rFonts w:ascii="Times New Roman" w:eastAsia="Times New Roman" w:hAnsi="Times New Roman" w:cs="Times New Roman"/>
          <w:sz w:val="24"/>
          <w:szCs w:val="24"/>
          <w:vertAlign w:val="superscript"/>
        </w:rPr>
        <w:t>13</w:t>
      </w:r>
      <w:r w:rsidRPr="0051056F">
        <w:rPr>
          <w:rFonts w:ascii="Times New Roman" w:eastAsia="Times New Roman" w:hAnsi="Times New Roman" w:cs="Times New Roman"/>
          <w:sz w:val="24"/>
          <w:szCs w:val="24"/>
        </w:rPr>
        <w:t>C values previously reported on the trees in the exposed area to the newly obtained δ</w:t>
      </w:r>
      <w:r w:rsidRPr="0051056F">
        <w:rPr>
          <w:rFonts w:ascii="Times New Roman" w:eastAsia="Times New Roman" w:hAnsi="Times New Roman" w:cs="Times New Roman"/>
          <w:sz w:val="24"/>
          <w:szCs w:val="24"/>
          <w:vertAlign w:val="superscript"/>
        </w:rPr>
        <w:t>2</w:t>
      </w:r>
      <w:r w:rsidRPr="0051056F">
        <w:rPr>
          <w:rFonts w:ascii="Times New Roman" w:eastAsia="Times New Roman" w:hAnsi="Times New Roman" w:cs="Times New Roman"/>
          <w:sz w:val="24"/>
          <w:szCs w:val="24"/>
        </w:rPr>
        <w:t>H values; and (4) to discuss the sensitivity of hydrogen isotopes in stem cellulose to pollution stress.</w:t>
      </w:r>
    </w:p>
    <w:p w:rsidR="0051056F" w:rsidRPr="0051056F" w:rsidRDefault="0051056F" w:rsidP="0051056F">
      <w:pPr>
        <w:spacing w:before="100" w:beforeAutospacing="1" w:after="100" w:afterAutospacing="1" w:line="240" w:lineRule="auto"/>
        <w:outlineLvl w:val="1"/>
        <w:rPr>
          <w:rFonts w:ascii="Times New Roman" w:eastAsia="Times New Roman" w:hAnsi="Times New Roman" w:cs="Times New Roman"/>
          <w:b/>
          <w:bCs/>
          <w:sz w:val="36"/>
          <w:szCs w:val="36"/>
        </w:rPr>
      </w:pPr>
      <w:r w:rsidRPr="0051056F">
        <w:rPr>
          <w:rFonts w:ascii="Times New Roman" w:eastAsia="Times New Roman" w:hAnsi="Times New Roman" w:cs="Times New Roman"/>
          <w:b/>
          <w:bCs/>
          <w:sz w:val="36"/>
          <w:szCs w:val="36"/>
        </w:rPr>
        <w:t>Section snippets</w:t>
      </w:r>
    </w:p>
    <w:p w:rsidR="0051056F" w:rsidRPr="0051056F" w:rsidRDefault="0051056F" w:rsidP="0051056F">
      <w:pPr>
        <w:spacing w:before="100" w:beforeAutospacing="1" w:after="100" w:afterAutospacing="1" w:line="240" w:lineRule="auto"/>
        <w:outlineLvl w:val="1"/>
        <w:rPr>
          <w:rFonts w:ascii="Times New Roman" w:eastAsia="Times New Roman" w:hAnsi="Times New Roman" w:cs="Times New Roman"/>
          <w:b/>
          <w:bCs/>
          <w:sz w:val="36"/>
          <w:szCs w:val="36"/>
        </w:rPr>
      </w:pPr>
      <w:r w:rsidRPr="0051056F">
        <w:rPr>
          <w:rFonts w:ascii="Times New Roman" w:eastAsia="Times New Roman" w:hAnsi="Times New Roman" w:cs="Times New Roman"/>
          <w:b/>
          <w:bCs/>
          <w:sz w:val="36"/>
          <w:szCs w:val="36"/>
        </w:rPr>
        <w:t>Regional Environment</w:t>
      </w:r>
    </w:p>
    <w:p w:rsidR="0051056F" w:rsidRPr="0051056F" w:rsidRDefault="0051056F" w:rsidP="0051056F">
      <w:pPr>
        <w:spacing w:before="100" w:beforeAutospacing="1" w:after="100" w:afterAutospacing="1" w:line="240" w:lineRule="auto"/>
        <w:rPr>
          <w:rFonts w:ascii="Times New Roman" w:eastAsia="Times New Roman" w:hAnsi="Times New Roman" w:cs="Times New Roman"/>
          <w:sz w:val="24"/>
          <w:szCs w:val="24"/>
        </w:rPr>
      </w:pPr>
      <w:r w:rsidRPr="0051056F">
        <w:rPr>
          <w:rFonts w:ascii="Times New Roman" w:eastAsia="Times New Roman" w:hAnsi="Times New Roman" w:cs="Times New Roman"/>
          <w:sz w:val="24"/>
          <w:szCs w:val="24"/>
        </w:rPr>
        <w:t>The Horne copper smelter located in the town of Rouyn-Noranda began its operation in December 1927, and has been emitting fairly large quantities of airborne metal particulates and gases up until recently. Before the implementation of modern control measures, the Horne smelter was the most important source of SO</w:t>
      </w:r>
      <w:r w:rsidRPr="0051056F">
        <w:rPr>
          <w:rFonts w:ascii="Times New Roman" w:eastAsia="Times New Roman" w:hAnsi="Times New Roman" w:cs="Times New Roman"/>
          <w:sz w:val="24"/>
          <w:szCs w:val="24"/>
          <w:vertAlign w:val="subscript"/>
        </w:rPr>
        <w:t>2</w:t>
      </w:r>
      <w:r w:rsidRPr="0051056F">
        <w:rPr>
          <w:rFonts w:ascii="Times New Roman" w:eastAsia="Times New Roman" w:hAnsi="Times New Roman" w:cs="Times New Roman"/>
          <w:sz w:val="24"/>
          <w:szCs w:val="24"/>
        </w:rPr>
        <w:t xml:space="preserve"> in the province of Québec (Dupont, 1997). A sulfuric acid plant was added to the Horne installations in 1989, to treat the SO</w:t>
      </w:r>
      <w:r w:rsidRPr="0051056F">
        <w:rPr>
          <w:rFonts w:ascii="Times New Roman" w:eastAsia="Times New Roman" w:hAnsi="Times New Roman" w:cs="Times New Roman"/>
          <w:sz w:val="24"/>
          <w:szCs w:val="24"/>
          <w:vertAlign w:val="subscript"/>
        </w:rPr>
        <w:t>2</w:t>
      </w:r>
      <w:r w:rsidRPr="0051056F">
        <w:rPr>
          <w:rFonts w:ascii="Times New Roman" w:eastAsia="Times New Roman" w:hAnsi="Times New Roman" w:cs="Times New Roman"/>
          <w:sz w:val="24"/>
          <w:szCs w:val="24"/>
        </w:rPr>
        <w:t xml:space="preserve"> produced during smelting (</w:t>
      </w:r>
      <w:proofErr w:type="spellStart"/>
      <w:r w:rsidRPr="0051056F">
        <w:rPr>
          <w:rFonts w:ascii="Times New Roman" w:eastAsia="Times New Roman" w:hAnsi="Times New Roman" w:cs="Times New Roman"/>
          <w:sz w:val="24"/>
          <w:szCs w:val="24"/>
        </w:rPr>
        <w:t>Bédard</w:t>
      </w:r>
      <w:proofErr w:type="spellEnd"/>
      <w:r w:rsidRPr="0051056F">
        <w:rPr>
          <w:rFonts w:ascii="Times New Roman" w:eastAsia="Times New Roman" w:hAnsi="Times New Roman" w:cs="Times New Roman"/>
          <w:sz w:val="24"/>
          <w:szCs w:val="24"/>
        </w:rPr>
        <w:t xml:space="preserve"> et al., 1990). The</w:t>
      </w:r>
    </w:p>
    <w:p w:rsidR="0051056F" w:rsidRPr="0051056F" w:rsidRDefault="0051056F" w:rsidP="0051056F">
      <w:pPr>
        <w:spacing w:before="100" w:beforeAutospacing="1" w:after="100" w:afterAutospacing="1" w:line="240" w:lineRule="auto"/>
        <w:outlineLvl w:val="1"/>
        <w:rPr>
          <w:rFonts w:ascii="Times New Roman" w:eastAsia="Times New Roman" w:hAnsi="Times New Roman" w:cs="Times New Roman"/>
          <w:b/>
          <w:bCs/>
          <w:sz w:val="36"/>
          <w:szCs w:val="36"/>
        </w:rPr>
      </w:pPr>
      <w:r w:rsidRPr="0051056F">
        <w:rPr>
          <w:rFonts w:ascii="Times New Roman" w:eastAsia="Times New Roman" w:hAnsi="Times New Roman" w:cs="Times New Roman"/>
          <w:b/>
          <w:bCs/>
          <w:sz w:val="36"/>
          <w:szCs w:val="36"/>
        </w:rPr>
        <w:t>Temporal Trends for Tree-Ring Series</w:t>
      </w:r>
    </w:p>
    <w:p w:rsidR="0051056F" w:rsidRPr="0051056F" w:rsidRDefault="0051056F" w:rsidP="0051056F">
      <w:pPr>
        <w:spacing w:before="100" w:beforeAutospacing="1" w:after="100" w:afterAutospacing="1" w:line="240" w:lineRule="auto"/>
        <w:rPr>
          <w:rFonts w:ascii="Times New Roman" w:eastAsia="Times New Roman" w:hAnsi="Times New Roman" w:cs="Times New Roman"/>
          <w:sz w:val="24"/>
          <w:szCs w:val="24"/>
        </w:rPr>
      </w:pPr>
      <w:r w:rsidRPr="0051056F">
        <w:rPr>
          <w:rFonts w:ascii="Times New Roman" w:eastAsia="Times New Roman" w:hAnsi="Times New Roman" w:cs="Times New Roman"/>
          <w:sz w:val="24"/>
          <w:szCs w:val="24"/>
        </w:rPr>
        <w:t>The temporal isotopic records obtained for the three trees at the test site correspond strongly (Fig. 2a); the statistical expressed population signal (EPS) or the quantified common signal (</w:t>
      </w:r>
      <w:proofErr w:type="spellStart"/>
      <w:r w:rsidRPr="0051056F">
        <w:rPr>
          <w:rFonts w:ascii="Times New Roman" w:eastAsia="Times New Roman" w:hAnsi="Times New Roman" w:cs="Times New Roman"/>
          <w:sz w:val="24"/>
          <w:szCs w:val="24"/>
        </w:rPr>
        <w:t>Briffa</w:t>
      </w:r>
      <w:proofErr w:type="spellEnd"/>
      <w:r w:rsidRPr="0051056F">
        <w:rPr>
          <w:rFonts w:ascii="Times New Roman" w:eastAsia="Times New Roman" w:hAnsi="Times New Roman" w:cs="Times New Roman"/>
          <w:sz w:val="24"/>
          <w:szCs w:val="24"/>
        </w:rPr>
        <w:t xml:space="preserve"> and Jones, 1989) for the three </w:t>
      </w:r>
      <w:proofErr w:type="spellStart"/>
      <w:r w:rsidRPr="0051056F">
        <w:rPr>
          <w:rFonts w:ascii="Times New Roman" w:eastAsia="Times New Roman" w:hAnsi="Times New Roman" w:cs="Times New Roman"/>
          <w:sz w:val="24"/>
          <w:szCs w:val="24"/>
        </w:rPr>
        <w:t>dendroisotopic</w:t>
      </w:r>
      <w:proofErr w:type="spellEnd"/>
      <w:r w:rsidRPr="0051056F">
        <w:rPr>
          <w:rFonts w:ascii="Times New Roman" w:eastAsia="Times New Roman" w:hAnsi="Times New Roman" w:cs="Times New Roman"/>
          <w:sz w:val="24"/>
          <w:szCs w:val="24"/>
        </w:rPr>
        <w:t xml:space="preserve"> series is 0.8, and the mean amplitude of δ</w:t>
      </w:r>
      <w:r w:rsidRPr="0051056F">
        <w:rPr>
          <w:rFonts w:ascii="Times New Roman" w:eastAsia="Times New Roman" w:hAnsi="Times New Roman" w:cs="Times New Roman"/>
          <w:sz w:val="24"/>
          <w:szCs w:val="24"/>
          <w:vertAlign w:val="superscript"/>
        </w:rPr>
        <w:t>2</w:t>
      </w:r>
      <w:r w:rsidRPr="0051056F">
        <w:rPr>
          <w:rFonts w:ascii="Times New Roman" w:eastAsia="Times New Roman" w:hAnsi="Times New Roman" w:cs="Times New Roman"/>
          <w:sz w:val="24"/>
          <w:szCs w:val="24"/>
        </w:rPr>
        <w:t xml:space="preserve">H variations is </w:t>
      </w:r>
      <w:r w:rsidRPr="0051056F">
        <w:rPr>
          <w:rFonts w:ascii="Times New Roman" w:eastAsia="Times New Roman" w:hAnsi="Times New Roman" w:cs="Times New Roman"/>
          <w:sz w:val="24"/>
          <w:szCs w:val="24"/>
        </w:rPr>
        <w:lastRenderedPageBreak/>
        <w:t xml:space="preserve">7‰. In fact, the </w:t>
      </w:r>
      <w:proofErr w:type="spellStart"/>
      <w:r w:rsidRPr="0051056F">
        <w:rPr>
          <w:rFonts w:ascii="Times New Roman" w:eastAsia="Times New Roman" w:hAnsi="Times New Roman" w:cs="Times New Roman"/>
          <w:sz w:val="24"/>
          <w:szCs w:val="24"/>
        </w:rPr>
        <w:t>dendroisotopic</w:t>
      </w:r>
      <w:proofErr w:type="spellEnd"/>
      <w:r w:rsidRPr="0051056F">
        <w:rPr>
          <w:rFonts w:ascii="Times New Roman" w:eastAsia="Times New Roman" w:hAnsi="Times New Roman" w:cs="Times New Roman"/>
          <w:sz w:val="24"/>
          <w:szCs w:val="24"/>
        </w:rPr>
        <w:t xml:space="preserve"> behavior at this site is characterized by two main features: short-term fluctuations (second order trend = 6 </w:t>
      </w:r>
      <w:proofErr w:type="spellStart"/>
      <w:r w:rsidRPr="0051056F">
        <w:rPr>
          <w:rFonts w:ascii="Times New Roman" w:eastAsia="Times New Roman" w:hAnsi="Times New Roman" w:cs="Times New Roman"/>
          <w:sz w:val="24"/>
          <w:szCs w:val="24"/>
        </w:rPr>
        <w:t>yr</w:t>
      </w:r>
      <w:proofErr w:type="spellEnd"/>
      <w:r w:rsidRPr="0051056F">
        <w:rPr>
          <w:rFonts w:ascii="Times New Roman" w:eastAsia="Times New Roman" w:hAnsi="Times New Roman" w:cs="Times New Roman"/>
          <w:sz w:val="24"/>
          <w:szCs w:val="24"/>
        </w:rPr>
        <w:t xml:space="preserve"> or less) overlapping on long-term changes (first</w:t>
      </w:r>
    </w:p>
    <w:p w:rsidR="0051056F" w:rsidRPr="0051056F" w:rsidRDefault="0051056F" w:rsidP="0051056F">
      <w:pPr>
        <w:spacing w:before="100" w:beforeAutospacing="1" w:after="100" w:afterAutospacing="1" w:line="240" w:lineRule="auto"/>
        <w:outlineLvl w:val="1"/>
        <w:rPr>
          <w:rFonts w:ascii="Times New Roman" w:eastAsia="Times New Roman" w:hAnsi="Times New Roman" w:cs="Times New Roman"/>
          <w:b/>
          <w:bCs/>
          <w:sz w:val="36"/>
          <w:szCs w:val="36"/>
        </w:rPr>
      </w:pPr>
      <w:r w:rsidRPr="0051056F">
        <w:rPr>
          <w:rFonts w:ascii="Times New Roman" w:eastAsia="Times New Roman" w:hAnsi="Times New Roman" w:cs="Times New Roman"/>
          <w:b/>
          <w:bCs/>
          <w:sz w:val="36"/>
          <w:szCs w:val="36"/>
        </w:rPr>
        <w:t>Discussion</w:t>
      </w:r>
    </w:p>
    <w:p w:rsidR="0051056F" w:rsidRPr="0051056F" w:rsidRDefault="0051056F" w:rsidP="0051056F">
      <w:pPr>
        <w:spacing w:before="100" w:beforeAutospacing="1" w:after="100" w:afterAutospacing="1" w:line="240" w:lineRule="auto"/>
        <w:rPr>
          <w:rFonts w:ascii="Times New Roman" w:eastAsia="Times New Roman" w:hAnsi="Times New Roman" w:cs="Times New Roman"/>
          <w:sz w:val="24"/>
          <w:szCs w:val="24"/>
        </w:rPr>
      </w:pPr>
      <w:r w:rsidRPr="0051056F">
        <w:rPr>
          <w:rFonts w:ascii="Times New Roman" w:eastAsia="Times New Roman" w:hAnsi="Times New Roman" w:cs="Times New Roman"/>
          <w:sz w:val="24"/>
          <w:szCs w:val="24"/>
        </w:rPr>
        <w:t>There is a very strong inverse correlation of δ</w:t>
      </w:r>
      <w:r w:rsidRPr="0051056F">
        <w:rPr>
          <w:rFonts w:ascii="Times New Roman" w:eastAsia="Times New Roman" w:hAnsi="Times New Roman" w:cs="Times New Roman"/>
          <w:sz w:val="24"/>
          <w:szCs w:val="24"/>
          <w:vertAlign w:val="superscript"/>
        </w:rPr>
        <w:t>2</w:t>
      </w:r>
      <w:r w:rsidRPr="0051056F">
        <w:rPr>
          <w:rFonts w:ascii="Times New Roman" w:eastAsia="Times New Roman" w:hAnsi="Times New Roman" w:cs="Times New Roman"/>
          <w:sz w:val="24"/>
          <w:szCs w:val="24"/>
        </w:rPr>
        <w:t xml:space="preserve">H values at the test site with the smelter feed (Table 3). Note that the feed in millions of </w:t>
      </w:r>
      <w:proofErr w:type="spellStart"/>
      <w:r w:rsidRPr="0051056F">
        <w:rPr>
          <w:rFonts w:ascii="Times New Roman" w:eastAsia="Times New Roman" w:hAnsi="Times New Roman" w:cs="Times New Roman"/>
          <w:sz w:val="24"/>
          <w:szCs w:val="24"/>
        </w:rPr>
        <w:t>tonnes</w:t>
      </w:r>
      <w:proofErr w:type="spellEnd"/>
      <w:r w:rsidRPr="0051056F">
        <w:rPr>
          <w:rFonts w:ascii="Times New Roman" w:eastAsia="Times New Roman" w:hAnsi="Times New Roman" w:cs="Times New Roman"/>
          <w:sz w:val="24"/>
          <w:szCs w:val="24"/>
        </w:rPr>
        <w:t xml:space="preserve"> of solid material is used here as a proxy for the emissions. This is necessary as the emission data are not available for the pre-1965 period and this is rigorous because we previously established a correspondence between the feed and the emissions before 1990 (Savard et al., 2004). We therefore infer an inverse link between the atmospheric</w:t>
      </w:r>
    </w:p>
    <w:p w:rsidR="0051056F" w:rsidRPr="0051056F" w:rsidRDefault="0051056F" w:rsidP="0051056F">
      <w:pPr>
        <w:spacing w:before="100" w:beforeAutospacing="1" w:after="100" w:afterAutospacing="1" w:line="240" w:lineRule="auto"/>
        <w:outlineLvl w:val="1"/>
        <w:rPr>
          <w:rFonts w:ascii="Times New Roman" w:eastAsia="Times New Roman" w:hAnsi="Times New Roman" w:cs="Times New Roman"/>
          <w:b/>
          <w:bCs/>
          <w:sz w:val="36"/>
          <w:szCs w:val="36"/>
        </w:rPr>
      </w:pPr>
      <w:r w:rsidRPr="0051056F">
        <w:rPr>
          <w:rFonts w:ascii="Times New Roman" w:eastAsia="Times New Roman" w:hAnsi="Times New Roman" w:cs="Times New Roman"/>
          <w:b/>
          <w:bCs/>
          <w:sz w:val="36"/>
          <w:szCs w:val="36"/>
        </w:rPr>
        <w:t>Conclusions</w:t>
      </w:r>
    </w:p>
    <w:p w:rsidR="0051056F" w:rsidRPr="0051056F" w:rsidRDefault="0051056F" w:rsidP="0051056F">
      <w:pPr>
        <w:spacing w:before="100" w:beforeAutospacing="1" w:after="100" w:afterAutospacing="1" w:line="240" w:lineRule="auto"/>
        <w:rPr>
          <w:rFonts w:ascii="Times New Roman" w:eastAsia="Times New Roman" w:hAnsi="Times New Roman" w:cs="Times New Roman"/>
          <w:sz w:val="24"/>
          <w:szCs w:val="24"/>
        </w:rPr>
      </w:pPr>
      <w:r w:rsidRPr="0051056F">
        <w:rPr>
          <w:rFonts w:ascii="Times New Roman" w:eastAsia="Times New Roman" w:hAnsi="Times New Roman" w:cs="Times New Roman"/>
          <w:sz w:val="24"/>
          <w:szCs w:val="24"/>
        </w:rPr>
        <w:t>Change in fractionation of hydrogen isotopes in trees exposed to airborne phytotoxic pollutants is demonstrated here for the first time. The lower evapotranspiration and gas exchange between leaves and air expressed by the data set, and perhaps a modification of the biochemical functions, also indicate that the CO</w:t>
      </w:r>
      <w:r w:rsidRPr="0051056F">
        <w:rPr>
          <w:rFonts w:ascii="Times New Roman" w:eastAsia="Times New Roman" w:hAnsi="Times New Roman" w:cs="Times New Roman"/>
          <w:sz w:val="24"/>
          <w:szCs w:val="24"/>
          <w:vertAlign w:val="subscript"/>
        </w:rPr>
        <w:t>2</w:t>
      </w:r>
      <w:r w:rsidRPr="0051056F">
        <w:rPr>
          <w:rFonts w:ascii="Times New Roman" w:eastAsia="Times New Roman" w:hAnsi="Times New Roman" w:cs="Times New Roman"/>
          <w:sz w:val="24"/>
          <w:szCs w:val="24"/>
        </w:rPr>
        <w:t xml:space="preserve"> uptake was lower during the 1930–1998 period. This supports our former interpretation of carbon isotope trends in terms of lowered photosynthetic function of trees exposed to</w:t>
      </w:r>
    </w:p>
    <w:p w:rsidR="0051056F" w:rsidRPr="0051056F" w:rsidRDefault="0051056F" w:rsidP="0051056F">
      <w:pPr>
        <w:spacing w:before="100" w:beforeAutospacing="1" w:after="100" w:afterAutospacing="1" w:line="240" w:lineRule="auto"/>
        <w:outlineLvl w:val="1"/>
        <w:rPr>
          <w:rFonts w:ascii="Times New Roman" w:eastAsia="Times New Roman" w:hAnsi="Times New Roman" w:cs="Times New Roman"/>
          <w:b/>
          <w:bCs/>
          <w:sz w:val="36"/>
          <w:szCs w:val="36"/>
        </w:rPr>
      </w:pPr>
      <w:r w:rsidRPr="0051056F">
        <w:rPr>
          <w:rFonts w:ascii="Times New Roman" w:eastAsia="Times New Roman" w:hAnsi="Times New Roman" w:cs="Times New Roman"/>
          <w:b/>
          <w:bCs/>
          <w:sz w:val="36"/>
          <w:szCs w:val="36"/>
        </w:rPr>
        <w:t>Acknowledgments</w:t>
      </w:r>
    </w:p>
    <w:p w:rsidR="0051056F" w:rsidRPr="0051056F" w:rsidRDefault="0051056F" w:rsidP="0051056F">
      <w:pPr>
        <w:spacing w:before="100" w:beforeAutospacing="1" w:after="100" w:afterAutospacing="1" w:line="240" w:lineRule="auto"/>
        <w:rPr>
          <w:rFonts w:ascii="Times New Roman" w:eastAsia="Times New Roman" w:hAnsi="Times New Roman" w:cs="Times New Roman"/>
          <w:sz w:val="24"/>
          <w:szCs w:val="24"/>
        </w:rPr>
      </w:pPr>
      <w:r w:rsidRPr="0051056F">
        <w:rPr>
          <w:rFonts w:ascii="Times New Roman" w:eastAsia="Times New Roman" w:hAnsi="Times New Roman" w:cs="Times New Roman"/>
          <w:sz w:val="24"/>
          <w:szCs w:val="24"/>
        </w:rPr>
        <w:t>This research project was financially supported by the MITE and Climate Change programs of the Earth Science Sector (</w:t>
      </w:r>
      <w:proofErr w:type="spellStart"/>
      <w:r w:rsidRPr="0051056F">
        <w:rPr>
          <w:rFonts w:ascii="Times New Roman" w:eastAsia="Times New Roman" w:hAnsi="Times New Roman" w:cs="Times New Roman"/>
          <w:sz w:val="24"/>
          <w:szCs w:val="24"/>
        </w:rPr>
        <w:t>NRCan</w:t>
      </w:r>
      <w:proofErr w:type="spellEnd"/>
      <w:r w:rsidRPr="0051056F">
        <w:rPr>
          <w:rFonts w:ascii="Times New Roman" w:eastAsia="Times New Roman" w:hAnsi="Times New Roman" w:cs="Times New Roman"/>
          <w:sz w:val="24"/>
          <w:szCs w:val="24"/>
        </w:rPr>
        <w:t xml:space="preserve">). Isomass Inc. kindly covered the cost for the analysis of hydrogen isotopes in a first tree with the online TC/EA-IRMS analytical system. We thank M. R. </w:t>
      </w:r>
      <w:proofErr w:type="spellStart"/>
      <w:r w:rsidRPr="0051056F">
        <w:rPr>
          <w:rFonts w:ascii="Times New Roman" w:eastAsia="Times New Roman" w:hAnsi="Times New Roman" w:cs="Times New Roman"/>
          <w:sz w:val="24"/>
          <w:szCs w:val="24"/>
        </w:rPr>
        <w:t>Luzincourt</w:t>
      </w:r>
      <w:proofErr w:type="spellEnd"/>
      <w:r w:rsidRPr="0051056F">
        <w:rPr>
          <w:rFonts w:ascii="Times New Roman" w:eastAsia="Times New Roman" w:hAnsi="Times New Roman" w:cs="Times New Roman"/>
          <w:sz w:val="24"/>
          <w:szCs w:val="24"/>
        </w:rPr>
        <w:t xml:space="preserve">, S. Boivin, J. Cloutier, M.-A. Dion, R. Gosselin, and Al. Smirnoff for technical assistance, Dr. P. </w:t>
      </w:r>
      <w:proofErr w:type="spellStart"/>
      <w:r w:rsidRPr="0051056F">
        <w:rPr>
          <w:rFonts w:ascii="Times New Roman" w:eastAsia="Times New Roman" w:hAnsi="Times New Roman" w:cs="Times New Roman"/>
          <w:sz w:val="24"/>
          <w:szCs w:val="24"/>
        </w:rPr>
        <w:t>Francus</w:t>
      </w:r>
      <w:proofErr w:type="spellEnd"/>
      <w:r w:rsidRPr="0051056F">
        <w:rPr>
          <w:rFonts w:ascii="Times New Roman" w:eastAsia="Times New Roman" w:hAnsi="Times New Roman" w:cs="Times New Roman"/>
          <w:sz w:val="24"/>
          <w:szCs w:val="24"/>
        </w:rPr>
        <w:t xml:space="preserve"> for a </w:t>
      </w:r>
      <w:proofErr w:type="spellStart"/>
      <w:r w:rsidRPr="0051056F">
        <w:rPr>
          <w:rFonts w:ascii="Times New Roman" w:eastAsia="Times New Roman" w:hAnsi="Times New Roman" w:cs="Times New Roman"/>
          <w:sz w:val="24"/>
          <w:szCs w:val="24"/>
        </w:rPr>
        <w:t>presubmission</w:t>
      </w:r>
      <w:proofErr w:type="spellEnd"/>
      <w:r w:rsidRPr="0051056F">
        <w:rPr>
          <w:rFonts w:ascii="Times New Roman" w:eastAsia="Times New Roman" w:hAnsi="Times New Roman" w:cs="Times New Roman"/>
          <w:sz w:val="24"/>
          <w:szCs w:val="24"/>
        </w:rPr>
        <w:t xml:space="preserve"> review of the manuscript. The authors would like to acknowledge also the</w:t>
      </w:r>
    </w:p>
    <w:p w:rsidR="00090AD0" w:rsidRDefault="00090AD0"/>
    <w:sectPr w:rsidR="00090AD0">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056F"/>
    <w:rsid w:val="00090AD0"/>
    <w:rsid w:val="005105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5A3C47"/>
  <w15:chartTrackingRefBased/>
  <w15:docId w15:val="{4C554C4E-0875-4794-A89C-8351C5BCD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15310916">
      <w:bodyDiv w:val="1"/>
      <w:marLeft w:val="0"/>
      <w:marRight w:val="0"/>
      <w:marTop w:val="0"/>
      <w:marBottom w:val="0"/>
      <w:divBdr>
        <w:top w:val="none" w:sz="0" w:space="0" w:color="auto"/>
        <w:left w:val="none" w:sz="0" w:space="0" w:color="auto"/>
        <w:bottom w:val="none" w:sz="0" w:space="0" w:color="auto"/>
        <w:right w:val="none" w:sz="0" w:space="0" w:color="auto"/>
      </w:divBdr>
      <w:divsChild>
        <w:div w:id="1801219572">
          <w:marLeft w:val="0"/>
          <w:marRight w:val="0"/>
          <w:marTop w:val="0"/>
          <w:marBottom w:val="0"/>
          <w:divBdr>
            <w:top w:val="none" w:sz="0" w:space="0" w:color="auto"/>
            <w:left w:val="none" w:sz="0" w:space="0" w:color="auto"/>
            <w:bottom w:val="none" w:sz="0" w:space="0" w:color="auto"/>
            <w:right w:val="none" w:sz="0" w:space="0" w:color="auto"/>
          </w:divBdr>
          <w:divsChild>
            <w:div w:id="203754386">
              <w:marLeft w:val="0"/>
              <w:marRight w:val="0"/>
              <w:marTop w:val="0"/>
              <w:marBottom w:val="0"/>
              <w:divBdr>
                <w:top w:val="none" w:sz="0" w:space="0" w:color="auto"/>
                <w:left w:val="none" w:sz="0" w:space="0" w:color="auto"/>
                <w:bottom w:val="none" w:sz="0" w:space="0" w:color="auto"/>
                <w:right w:val="none" w:sz="0" w:space="0" w:color="auto"/>
              </w:divBdr>
              <w:divsChild>
                <w:div w:id="477386028">
                  <w:marLeft w:val="0"/>
                  <w:marRight w:val="0"/>
                  <w:marTop w:val="0"/>
                  <w:marBottom w:val="0"/>
                  <w:divBdr>
                    <w:top w:val="none" w:sz="0" w:space="0" w:color="auto"/>
                    <w:left w:val="none" w:sz="0" w:space="0" w:color="auto"/>
                    <w:bottom w:val="none" w:sz="0" w:space="0" w:color="auto"/>
                    <w:right w:val="none" w:sz="0" w:space="0" w:color="auto"/>
                  </w:divBdr>
                  <w:divsChild>
                    <w:div w:id="1546138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8847595">
          <w:marLeft w:val="0"/>
          <w:marRight w:val="0"/>
          <w:marTop w:val="0"/>
          <w:marBottom w:val="0"/>
          <w:divBdr>
            <w:top w:val="none" w:sz="0" w:space="0" w:color="auto"/>
            <w:left w:val="none" w:sz="0" w:space="0" w:color="auto"/>
            <w:bottom w:val="none" w:sz="0" w:space="0" w:color="auto"/>
            <w:right w:val="none" w:sz="0" w:space="0" w:color="auto"/>
          </w:divBdr>
          <w:divsChild>
            <w:div w:id="237403904">
              <w:marLeft w:val="0"/>
              <w:marRight w:val="0"/>
              <w:marTop w:val="0"/>
              <w:marBottom w:val="0"/>
              <w:divBdr>
                <w:top w:val="none" w:sz="0" w:space="0" w:color="auto"/>
                <w:left w:val="none" w:sz="0" w:space="0" w:color="auto"/>
                <w:bottom w:val="none" w:sz="0" w:space="0" w:color="auto"/>
                <w:right w:val="none" w:sz="0" w:space="0" w:color="auto"/>
              </w:divBdr>
              <w:divsChild>
                <w:div w:id="1151480986">
                  <w:marLeft w:val="0"/>
                  <w:marRight w:val="0"/>
                  <w:marTop w:val="0"/>
                  <w:marBottom w:val="0"/>
                  <w:divBdr>
                    <w:top w:val="none" w:sz="0" w:space="0" w:color="auto"/>
                    <w:left w:val="none" w:sz="0" w:space="0" w:color="auto"/>
                    <w:bottom w:val="none" w:sz="0" w:space="0" w:color="auto"/>
                    <w:right w:val="none" w:sz="0" w:space="0" w:color="auto"/>
                  </w:divBdr>
                  <w:divsChild>
                    <w:div w:id="1094327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9795592">
          <w:marLeft w:val="0"/>
          <w:marRight w:val="0"/>
          <w:marTop w:val="0"/>
          <w:marBottom w:val="0"/>
          <w:divBdr>
            <w:top w:val="none" w:sz="0" w:space="0" w:color="auto"/>
            <w:left w:val="none" w:sz="0" w:space="0" w:color="auto"/>
            <w:bottom w:val="none" w:sz="0" w:space="0" w:color="auto"/>
            <w:right w:val="none" w:sz="0" w:space="0" w:color="auto"/>
          </w:divBdr>
          <w:divsChild>
            <w:div w:id="216622875">
              <w:marLeft w:val="0"/>
              <w:marRight w:val="0"/>
              <w:marTop w:val="0"/>
              <w:marBottom w:val="0"/>
              <w:divBdr>
                <w:top w:val="none" w:sz="0" w:space="0" w:color="auto"/>
                <w:left w:val="none" w:sz="0" w:space="0" w:color="auto"/>
                <w:bottom w:val="none" w:sz="0" w:space="0" w:color="auto"/>
                <w:right w:val="none" w:sz="0" w:space="0" w:color="auto"/>
              </w:divBdr>
            </w:div>
          </w:divsChild>
        </w:div>
        <w:div w:id="945962933">
          <w:marLeft w:val="0"/>
          <w:marRight w:val="0"/>
          <w:marTop w:val="0"/>
          <w:marBottom w:val="0"/>
          <w:divBdr>
            <w:top w:val="none" w:sz="0" w:space="0" w:color="auto"/>
            <w:left w:val="none" w:sz="0" w:space="0" w:color="auto"/>
            <w:bottom w:val="none" w:sz="0" w:space="0" w:color="auto"/>
            <w:right w:val="none" w:sz="0" w:space="0" w:color="auto"/>
          </w:divBdr>
          <w:divsChild>
            <w:div w:id="1638486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isotope-ratios"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isotopic-fractionat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water-uptake" TargetMode="External"/><Relationship Id="rId11" Type="http://schemas.openxmlformats.org/officeDocument/2006/relationships/theme" Target="theme/theme1.xml"/><Relationship Id="rId5" Type="http://schemas.openxmlformats.org/officeDocument/2006/relationships/hyperlink" Target="https://www.sciencedirect.com/topics/earth-and-planetary-sciences/biochemical-process" TargetMode="External"/><Relationship Id="rId10" Type="http://schemas.openxmlformats.org/officeDocument/2006/relationships/fontTable" Target="fontTable.xml"/><Relationship Id="rId4" Type="http://schemas.openxmlformats.org/officeDocument/2006/relationships/hyperlink" Target="https://doi.org/10.1016/j.gca.2005.03.046" TargetMode="External"/><Relationship Id="rId9" Type="http://schemas.openxmlformats.org/officeDocument/2006/relationships/hyperlink" Target="https://www.sciencedirect.com/topics/earth-and-planetary-sciences/acclimatiz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1445</Words>
  <Characters>8237</Characters>
  <Application>Microsoft Office Word</Application>
  <DocSecurity>0</DocSecurity>
  <Lines>68</Lines>
  <Paragraphs>19</Paragraphs>
  <ScaleCrop>false</ScaleCrop>
  <Company/>
  <LinksUpToDate>false</LinksUpToDate>
  <CharactersWithSpaces>9663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2023-11-18T04:36:00Z</dcterms:created>
  <dcterms:modified xsi:type="dcterms:W3CDTF">2023-11-18T04:37:00Z</dcterms:modified>
</cp:coreProperties>
</file>