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C3110" w:rsidRPr="004C3110" w:rsidRDefault="004C3110" w:rsidP="004C3110">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4C3110">
        <w:rPr>
          <w:rFonts w:ascii="Times New Roman" w:eastAsia="Times New Roman" w:hAnsi="Times New Roman" w:cs="Times New Roman"/>
          <w:b/>
          <w:bCs/>
          <w:kern w:val="36"/>
          <w:sz w:val="48"/>
          <w:szCs w:val="48"/>
        </w:rPr>
        <w:t xml:space="preserve">Lithium isotopes in the system </w:t>
      </w:r>
      <w:proofErr w:type="spellStart"/>
      <w:r w:rsidRPr="004C3110">
        <w:rPr>
          <w:rFonts w:ascii="Times New Roman" w:eastAsia="Times New Roman" w:hAnsi="Times New Roman" w:cs="Times New Roman"/>
          <w:b/>
          <w:bCs/>
          <w:kern w:val="36"/>
          <w:sz w:val="48"/>
          <w:szCs w:val="48"/>
        </w:rPr>
        <w:t>Qz-Ms-</w:t>
      </w:r>
      <w:proofErr w:type="gramStart"/>
      <w:r w:rsidRPr="004C3110">
        <w:rPr>
          <w:rFonts w:ascii="Times New Roman" w:eastAsia="Times New Roman" w:hAnsi="Times New Roman" w:cs="Times New Roman"/>
          <w:b/>
          <w:bCs/>
          <w:kern w:val="36"/>
          <w:sz w:val="48"/>
          <w:szCs w:val="48"/>
        </w:rPr>
        <w:t>fluid:An</w:t>
      </w:r>
      <w:proofErr w:type="spellEnd"/>
      <w:proofErr w:type="gramEnd"/>
      <w:r w:rsidRPr="004C3110">
        <w:rPr>
          <w:rFonts w:ascii="Times New Roman" w:eastAsia="Times New Roman" w:hAnsi="Times New Roman" w:cs="Times New Roman"/>
          <w:b/>
          <w:bCs/>
          <w:kern w:val="36"/>
          <w:sz w:val="48"/>
          <w:szCs w:val="48"/>
        </w:rPr>
        <w:t xml:space="preserve"> experimental study</w:t>
      </w:r>
    </w:p>
    <w:p w:rsidR="004C3110" w:rsidRPr="004C3110" w:rsidRDefault="004C3110" w:rsidP="004C3110">
      <w:pPr>
        <w:spacing w:after="0" w:line="240" w:lineRule="auto"/>
        <w:rPr>
          <w:rFonts w:ascii="Times New Roman" w:eastAsia="Times New Roman" w:hAnsi="Times New Roman" w:cs="Times New Roman"/>
          <w:sz w:val="24"/>
          <w:szCs w:val="24"/>
        </w:rPr>
      </w:pPr>
      <w:r w:rsidRPr="004C3110">
        <w:rPr>
          <w:rFonts w:ascii="Times New Roman" w:eastAsia="Times New Roman" w:hAnsi="Times New Roman" w:cs="Times New Roman"/>
          <w:sz w:val="24"/>
          <w:szCs w:val="24"/>
        </w:rPr>
        <w:t>Author links open overlay panel</w:t>
      </w:r>
    </w:p>
    <w:p w:rsidR="004C3110" w:rsidRPr="004C3110" w:rsidRDefault="004C3110" w:rsidP="004C3110">
      <w:pPr>
        <w:spacing w:after="0" w:line="240" w:lineRule="auto"/>
        <w:rPr>
          <w:rFonts w:ascii="Times New Roman" w:eastAsia="Times New Roman" w:hAnsi="Times New Roman" w:cs="Times New Roman"/>
          <w:sz w:val="24"/>
          <w:szCs w:val="24"/>
        </w:rPr>
      </w:pPr>
      <w:r w:rsidRPr="004C3110">
        <w:rPr>
          <w:rFonts w:ascii="Times New Roman" w:eastAsia="Times New Roman" w:hAnsi="Times New Roman" w:cs="Times New Roman"/>
          <w:sz w:val="24"/>
          <w:szCs w:val="24"/>
        </w:rPr>
        <w:t xml:space="preserve">, , </w:t>
      </w:r>
    </w:p>
    <w:p w:rsidR="004C3110" w:rsidRPr="004C3110" w:rsidRDefault="004C3110" w:rsidP="004C3110">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4C3110">
          <w:rPr>
            <w:rFonts w:ascii="Times New Roman" w:eastAsia="Times New Roman" w:hAnsi="Times New Roman" w:cs="Times New Roman"/>
            <w:color w:val="0000FF"/>
            <w:sz w:val="24"/>
            <w:szCs w:val="24"/>
            <w:u w:val="single"/>
          </w:rPr>
          <w:t>https://doi.org/10.1016/j.gca.2005.02.009</w:t>
        </w:r>
      </w:hyperlink>
      <w:bookmarkStart w:id="0" w:name="_GoBack"/>
      <w:bookmarkEnd w:id="0"/>
      <w:r w:rsidRPr="004C3110">
        <w:rPr>
          <w:rFonts w:ascii="Times New Roman" w:eastAsia="Times New Roman" w:hAnsi="Times New Roman" w:cs="Times New Roman"/>
          <w:sz w:val="24"/>
          <w:szCs w:val="24"/>
        </w:rPr>
        <w:t xml:space="preserve"> </w:t>
      </w:r>
    </w:p>
    <w:p w:rsidR="004C3110" w:rsidRPr="004C3110" w:rsidRDefault="004C3110" w:rsidP="004C3110">
      <w:pPr>
        <w:spacing w:before="100" w:beforeAutospacing="1" w:after="100" w:afterAutospacing="1" w:line="240" w:lineRule="auto"/>
        <w:outlineLvl w:val="1"/>
        <w:rPr>
          <w:rFonts w:ascii="Times New Roman" w:eastAsia="Times New Roman" w:hAnsi="Times New Roman" w:cs="Times New Roman"/>
          <w:b/>
          <w:bCs/>
          <w:sz w:val="36"/>
          <w:szCs w:val="36"/>
        </w:rPr>
      </w:pPr>
      <w:r w:rsidRPr="004C3110">
        <w:rPr>
          <w:rFonts w:ascii="Times New Roman" w:eastAsia="Times New Roman" w:hAnsi="Times New Roman" w:cs="Times New Roman"/>
          <w:b/>
          <w:bCs/>
          <w:sz w:val="36"/>
          <w:szCs w:val="36"/>
        </w:rPr>
        <w:t>Abstract</w:t>
      </w:r>
    </w:p>
    <w:p w:rsidR="004C3110" w:rsidRPr="004C3110" w:rsidRDefault="004C3110" w:rsidP="004C3110">
      <w:pPr>
        <w:spacing w:before="100" w:beforeAutospacing="1" w:after="100" w:afterAutospacing="1" w:line="240" w:lineRule="auto"/>
        <w:rPr>
          <w:rFonts w:ascii="Times New Roman" w:eastAsia="Times New Roman" w:hAnsi="Times New Roman" w:cs="Times New Roman"/>
          <w:sz w:val="24"/>
          <w:szCs w:val="24"/>
        </w:rPr>
      </w:pPr>
      <w:r w:rsidRPr="004C3110">
        <w:rPr>
          <w:rFonts w:ascii="Times New Roman" w:eastAsia="Times New Roman" w:hAnsi="Times New Roman" w:cs="Times New Roman"/>
          <w:sz w:val="24"/>
          <w:szCs w:val="24"/>
        </w:rPr>
        <w:t xml:space="preserve">The fractionation of </w:t>
      </w:r>
      <w:hyperlink r:id="rId5" w:tooltip="Learn more about lithium isotopes from ScienceDirect's AI-generated Topic Pages" w:history="1">
        <w:r w:rsidRPr="004C3110">
          <w:rPr>
            <w:rFonts w:ascii="Times New Roman" w:eastAsia="Times New Roman" w:hAnsi="Times New Roman" w:cs="Times New Roman"/>
            <w:color w:val="0000FF"/>
            <w:sz w:val="24"/>
            <w:szCs w:val="24"/>
            <w:u w:val="single"/>
          </w:rPr>
          <w:t>lithium isotopes</w:t>
        </w:r>
      </w:hyperlink>
      <w:r w:rsidRPr="004C3110">
        <w:rPr>
          <w:rFonts w:ascii="Times New Roman" w:eastAsia="Times New Roman" w:hAnsi="Times New Roman" w:cs="Times New Roman"/>
          <w:sz w:val="24"/>
          <w:szCs w:val="24"/>
        </w:rPr>
        <w:t xml:space="preserve"> among quartz, </w:t>
      </w:r>
      <w:hyperlink r:id="rId6" w:tooltip="Learn more about muscovite from ScienceDirect's AI-generated Topic Pages" w:history="1">
        <w:r w:rsidRPr="004C3110">
          <w:rPr>
            <w:rFonts w:ascii="Times New Roman" w:eastAsia="Times New Roman" w:hAnsi="Times New Roman" w:cs="Times New Roman"/>
            <w:color w:val="0000FF"/>
            <w:sz w:val="24"/>
            <w:szCs w:val="24"/>
            <w:u w:val="single"/>
          </w:rPr>
          <w:t>muscovite</w:t>
        </w:r>
      </w:hyperlink>
      <w:r w:rsidRPr="004C3110">
        <w:rPr>
          <w:rFonts w:ascii="Times New Roman" w:eastAsia="Times New Roman" w:hAnsi="Times New Roman" w:cs="Times New Roman"/>
          <w:sz w:val="24"/>
          <w:szCs w:val="24"/>
        </w:rPr>
        <w:t xml:space="preserve">, and a chloride-bearing aqueous fluid has been investigated experimentally at 400°–500°C and 50–100 MPa. Experiments were performed for 15–60 days in cold seal vessels with natural mineral specimens. Lithium was introduced primarily through the fluid, which also contained </w:t>
      </w:r>
      <w:proofErr w:type="spellStart"/>
      <w:r w:rsidRPr="004C3110">
        <w:rPr>
          <w:rFonts w:ascii="Times New Roman" w:eastAsia="Times New Roman" w:hAnsi="Times New Roman" w:cs="Times New Roman"/>
          <w:sz w:val="24"/>
          <w:szCs w:val="24"/>
        </w:rPr>
        <w:t>KCl</w:t>
      </w:r>
      <w:proofErr w:type="spellEnd"/>
      <w:r w:rsidRPr="004C3110">
        <w:rPr>
          <w:rFonts w:ascii="Times New Roman" w:eastAsia="Times New Roman" w:hAnsi="Times New Roman" w:cs="Times New Roman"/>
          <w:sz w:val="24"/>
          <w:szCs w:val="24"/>
        </w:rPr>
        <w:t xml:space="preserve"> and HCl. In most runs, the fluid was prepared with the L-SVEC standard (δ</w:t>
      </w:r>
      <w:r w:rsidRPr="004C3110">
        <w:rPr>
          <w:rFonts w:ascii="Times New Roman" w:eastAsia="Times New Roman" w:hAnsi="Times New Roman" w:cs="Times New Roman"/>
          <w:sz w:val="24"/>
          <w:szCs w:val="24"/>
          <w:vertAlign w:val="superscript"/>
        </w:rPr>
        <w:t>7</w:t>
      </w:r>
      <w:r w:rsidRPr="004C3110">
        <w:rPr>
          <w:rFonts w:ascii="Times New Roman" w:eastAsia="Times New Roman" w:hAnsi="Times New Roman" w:cs="Times New Roman"/>
          <w:sz w:val="24"/>
          <w:szCs w:val="24"/>
        </w:rPr>
        <w:t xml:space="preserve">Li = 0) and was 1 </w:t>
      </w:r>
      <w:r w:rsidRPr="004C3110">
        <w:rPr>
          <w:rFonts w:ascii="Times New Roman" w:eastAsia="Times New Roman" w:hAnsi="Times New Roman" w:cs="Times New Roman"/>
          <w:i/>
          <w:iCs/>
          <w:sz w:val="24"/>
          <w:szCs w:val="24"/>
        </w:rPr>
        <w:t>M</w:t>
      </w:r>
      <w:r w:rsidRPr="004C3110">
        <w:rPr>
          <w:rFonts w:ascii="Times New Roman" w:eastAsia="Times New Roman" w:hAnsi="Times New Roman" w:cs="Times New Roman"/>
          <w:sz w:val="24"/>
          <w:szCs w:val="24"/>
        </w:rPr>
        <w:t xml:space="preserve"> in total chloride with K/Li/H = 100/10/1. In two experiments, a </w:t>
      </w:r>
      <w:r w:rsidRPr="004C3110">
        <w:rPr>
          <w:rFonts w:ascii="Times New Roman" w:eastAsia="Times New Roman" w:hAnsi="Times New Roman" w:cs="Times New Roman"/>
          <w:sz w:val="24"/>
          <w:szCs w:val="24"/>
          <w:vertAlign w:val="superscript"/>
        </w:rPr>
        <w:t>6</w:t>
      </w:r>
      <w:r w:rsidRPr="004C3110">
        <w:rPr>
          <w:rFonts w:ascii="Times New Roman" w:eastAsia="Times New Roman" w:hAnsi="Times New Roman" w:cs="Times New Roman"/>
          <w:sz w:val="24"/>
          <w:szCs w:val="24"/>
        </w:rPr>
        <w:t xml:space="preserve">Li spike was employed. The experiments demonstrate that quartz and muscovite are susceptible to pronounced, rapid shifts in Li </w:t>
      </w:r>
      <w:hyperlink r:id="rId7" w:tooltip="Learn more about isotopic composition from ScienceDirect's AI-generated Topic Pages" w:history="1">
        <w:r w:rsidRPr="004C3110">
          <w:rPr>
            <w:rFonts w:ascii="Times New Roman" w:eastAsia="Times New Roman" w:hAnsi="Times New Roman" w:cs="Times New Roman"/>
            <w:color w:val="0000FF"/>
            <w:sz w:val="24"/>
            <w:szCs w:val="24"/>
            <w:u w:val="single"/>
          </w:rPr>
          <w:t>isotopic composition</w:t>
        </w:r>
      </w:hyperlink>
      <w:r w:rsidRPr="004C3110">
        <w:rPr>
          <w:rFonts w:ascii="Times New Roman" w:eastAsia="Times New Roman" w:hAnsi="Times New Roman" w:cs="Times New Roman"/>
          <w:sz w:val="24"/>
          <w:szCs w:val="24"/>
        </w:rPr>
        <w:t xml:space="preserve"> by diffusion through interaction with a Li-bearing fluid, particularly at 500°C. At 500°C, fractionation factors were determined to be </w:t>
      </w:r>
      <w:proofErr w:type="spellStart"/>
      <w:r w:rsidRPr="004C3110">
        <w:rPr>
          <w:rFonts w:ascii="Times New Roman" w:eastAsia="Times New Roman" w:hAnsi="Times New Roman" w:cs="Times New Roman"/>
          <w:sz w:val="24"/>
          <w:szCs w:val="24"/>
        </w:rPr>
        <w:t>Δ</w:t>
      </w:r>
      <w:r w:rsidRPr="004C3110">
        <w:rPr>
          <w:rFonts w:ascii="Times New Roman" w:eastAsia="Times New Roman" w:hAnsi="Times New Roman" w:cs="Times New Roman"/>
          <w:sz w:val="24"/>
          <w:szCs w:val="24"/>
          <w:vertAlign w:val="subscript"/>
        </w:rPr>
        <w:t>quartz</w:t>
      </w:r>
      <w:proofErr w:type="spellEnd"/>
      <w:r w:rsidRPr="004C3110">
        <w:rPr>
          <w:rFonts w:ascii="Times New Roman" w:eastAsia="Times New Roman" w:hAnsi="Times New Roman" w:cs="Times New Roman"/>
          <w:sz w:val="24"/>
          <w:szCs w:val="24"/>
          <w:vertAlign w:val="subscript"/>
        </w:rPr>
        <w:t>-aqueous</w:t>
      </w:r>
      <w:r w:rsidRPr="004C3110">
        <w:rPr>
          <w:rFonts w:ascii="Times New Roman" w:eastAsia="Times New Roman" w:hAnsi="Times New Roman" w:cs="Times New Roman"/>
          <w:sz w:val="24"/>
          <w:szCs w:val="24"/>
        </w:rPr>
        <w:t xml:space="preserve"> </w:t>
      </w:r>
      <w:r w:rsidRPr="004C3110">
        <w:rPr>
          <w:rFonts w:ascii="Cambria Math" w:eastAsia="Times New Roman" w:hAnsi="Cambria Math" w:cs="Cambria Math"/>
          <w:sz w:val="24"/>
          <w:szCs w:val="24"/>
        </w:rPr>
        <w:t>≅</w:t>
      </w:r>
      <w:r w:rsidRPr="004C3110">
        <w:rPr>
          <w:rFonts w:ascii="Times New Roman" w:eastAsia="Times New Roman" w:hAnsi="Times New Roman" w:cs="Times New Roman"/>
          <w:sz w:val="24"/>
          <w:szCs w:val="24"/>
        </w:rPr>
        <w:t xml:space="preserve"> +8 to + 12‰ and </w:t>
      </w:r>
      <w:proofErr w:type="spellStart"/>
      <w:r w:rsidRPr="004C3110">
        <w:rPr>
          <w:rFonts w:ascii="Times New Roman" w:eastAsia="Times New Roman" w:hAnsi="Times New Roman" w:cs="Times New Roman"/>
          <w:sz w:val="24"/>
          <w:szCs w:val="24"/>
        </w:rPr>
        <w:t>Δ</w:t>
      </w:r>
      <w:r w:rsidRPr="004C3110">
        <w:rPr>
          <w:rFonts w:ascii="Times New Roman" w:eastAsia="Times New Roman" w:hAnsi="Times New Roman" w:cs="Times New Roman"/>
          <w:sz w:val="24"/>
          <w:szCs w:val="24"/>
          <w:vertAlign w:val="subscript"/>
        </w:rPr>
        <w:t>muscovite</w:t>
      </w:r>
      <w:proofErr w:type="spellEnd"/>
      <w:r w:rsidRPr="004C3110">
        <w:rPr>
          <w:rFonts w:ascii="Times New Roman" w:eastAsia="Times New Roman" w:hAnsi="Times New Roman" w:cs="Times New Roman"/>
          <w:sz w:val="24"/>
          <w:szCs w:val="24"/>
          <w:vertAlign w:val="subscript"/>
        </w:rPr>
        <w:t>-aqueous</w:t>
      </w:r>
      <w:r w:rsidRPr="004C3110">
        <w:rPr>
          <w:rFonts w:ascii="Times New Roman" w:eastAsia="Times New Roman" w:hAnsi="Times New Roman" w:cs="Times New Roman"/>
          <w:sz w:val="24"/>
          <w:szCs w:val="24"/>
        </w:rPr>
        <w:t xml:space="preserve"> </w:t>
      </w:r>
      <w:r w:rsidRPr="004C3110">
        <w:rPr>
          <w:rFonts w:ascii="Cambria Math" w:eastAsia="Times New Roman" w:hAnsi="Cambria Math" w:cs="Cambria Math"/>
          <w:sz w:val="24"/>
          <w:szCs w:val="24"/>
        </w:rPr>
        <w:t>≅</w:t>
      </w:r>
      <w:r w:rsidRPr="004C3110">
        <w:rPr>
          <w:rFonts w:ascii="Times New Roman" w:eastAsia="Times New Roman" w:hAnsi="Times New Roman" w:cs="Times New Roman"/>
          <w:sz w:val="24"/>
          <w:szCs w:val="24"/>
        </w:rPr>
        <w:t xml:space="preserve"> +18 to + 20‰. An </w:t>
      </w:r>
      <w:proofErr w:type="spellStart"/>
      <w:r w:rsidRPr="004C3110">
        <w:rPr>
          <w:rFonts w:ascii="Times New Roman" w:eastAsia="Times New Roman" w:hAnsi="Times New Roman" w:cs="Times New Roman"/>
          <w:sz w:val="24"/>
          <w:szCs w:val="24"/>
        </w:rPr>
        <w:t>intermineral</w:t>
      </w:r>
      <w:proofErr w:type="spellEnd"/>
      <w:r w:rsidRPr="004C3110">
        <w:rPr>
          <w:rFonts w:ascii="Times New Roman" w:eastAsia="Times New Roman" w:hAnsi="Times New Roman" w:cs="Times New Roman"/>
          <w:sz w:val="24"/>
          <w:szCs w:val="24"/>
        </w:rPr>
        <w:t xml:space="preserve"> fractionation factor is given by </w:t>
      </w:r>
      <w:proofErr w:type="spellStart"/>
      <w:r w:rsidRPr="004C3110">
        <w:rPr>
          <w:rFonts w:ascii="Times New Roman" w:eastAsia="Times New Roman" w:hAnsi="Times New Roman" w:cs="Times New Roman"/>
          <w:sz w:val="24"/>
          <w:szCs w:val="24"/>
        </w:rPr>
        <w:t>Δ</w:t>
      </w:r>
      <w:r w:rsidRPr="004C3110">
        <w:rPr>
          <w:rFonts w:ascii="Times New Roman" w:eastAsia="Times New Roman" w:hAnsi="Times New Roman" w:cs="Times New Roman"/>
          <w:sz w:val="24"/>
          <w:szCs w:val="24"/>
          <w:vertAlign w:val="subscript"/>
        </w:rPr>
        <w:t>muscovite</w:t>
      </w:r>
      <w:proofErr w:type="spellEnd"/>
      <w:r w:rsidRPr="004C3110">
        <w:rPr>
          <w:rFonts w:ascii="Times New Roman" w:eastAsia="Times New Roman" w:hAnsi="Times New Roman" w:cs="Times New Roman"/>
          <w:sz w:val="24"/>
          <w:szCs w:val="24"/>
          <w:vertAlign w:val="subscript"/>
        </w:rPr>
        <w:t>-quartz</w:t>
      </w:r>
      <w:r w:rsidRPr="004C3110">
        <w:rPr>
          <w:rFonts w:ascii="Times New Roman" w:eastAsia="Times New Roman" w:hAnsi="Times New Roman" w:cs="Times New Roman"/>
          <w:sz w:val="24"/>
          <w:szCs w:val="24"/>
        </w:rPr>
        <w:t xml:space="preserve"> ≈ +9‰. At 400°C, the results suggest </w:t>
      </w:r>
      <w:proofErr w:type="spellStart"/>
      <w:r w:rsidRPr="004C3110">
        <w:rPr>
          <w:rFonts w:ascii="Times New Roman" w:eastAsia="Times New Roman" w:hAnsi="Times New Roman" w:cs="Times New Roman"/>
          <w:sz w:val="24"/>
          <w:szCs w:val="24"/>
        </w:rPr>
        <w:t>Δ</w:t>
      </w:r>
      <w:r w:rsidRPr="004C3110">
        <w:rPr>
          <w:rFonts w:ascii="Times New Roman" w:eastAsia="Times New Roman" w:hAnsi="Times New Roman" w:cs="Times New Roman"/>
          <w:sz w:val="24"/>
          <w:szCs w:val="24"/>
          <w:vertAlign w:val="subscript"/>
        </w:rPr>
        <w:t>quartz</w:t>
      </w:r>
      <w:proofErr w:type="spellEnd"/>
      <w:r w:rsidRPr="004C3110">
        <w:rPr>
          <w:rFonts w:ascii="Times New Roman" w:eastAsia="Times New Roman" w:hAnsi="Times New Roman" w:cs="Times New Roman"/>
          <w:sz w:val="24"/>
          <w:szCs w:val="24"/>
          <w:vertAlign w:val="subscript"/>
        </w:rPr>
        <w:t>-aqueous</w:t>
      </w:r>
      <w:r w:rsidRPr="004C3110">
        <w:rPr>
          <w:rFonts w:ascii="Times New Roman" w:eastAsia="Times New Roman" w:hAnsi="Times New Roman" w:cs="Times New Roman"/>
          <w:sz w:val="24"/>
          <w:szCs w:val="24"/>
        </w:rPr>
        <w:t xml:space="preserve"> ≈ +4 to + 6‰. The study provides evidence of systematic fractionation in lithium isotopes at the temperatures of some magmatic processes, such as those associated with porphyry-type ore systems and pegmatites.</w:t>
      </w:r>
    </w:p>
    <w:p w:rsidR="004C3110" w:rsidRPr="004C3110" w:rsidRDefault="004C3110" w:rsidP="004C3110">
      <w:pPr>
        <w:spacing w:before="100" w:beforeAutospacing="1" w:after="100" w:afterAutospacing="1" w:line="240" w:lineRule="auto"/>
        <w:outlineLvl w:val="1"/>
        <w:rPr>
          <w:rFonts w:ascii="Times New Roman" w:eastAsia="Times New Roman" w:hAnsi="Times New Roman" w:cs="Times New Roman"/>
          <w:b/>
          <w:bCs/>
          <w:sz w:val="36"/>
          <w:szCs w:val="36"/>
        </w:rPr>
      </w:pPr>
      <w:r w:rsidRPr="004C3110">
        <w:rPr>
          <w:rFonts w:ascii="Times New Roman" w:eastAsia="Times New Roman" w:hAnsi="Times New Roman" w:cs="Times New Roman"/>
          <w:b/>
          <w:bCs/>
          <w:sz w:val="36"/>
          <w:szCs w:val="36"/>
        </w:rPr>
        <w:t>Introduction</w:t>
      </w:r>
    </w:p>
    <w:p w:rsidR="004C3110" w:rsidRPr="004C3110" w:rsidRDefault="004C3110" w:rsidP="004C3110">
      <w:pPr>
        <w:spacing w:before="100" w:beforeAutospacing="1" w:after="100" w:afterAutospacing="1" w:line="240" w:lineRule="auto"/>
        <w:rPr>
          <w:rFonts w:ascii="Times New Roman" w:eastAsia="Times New Roman" w:hAnsi="Times New Roman" w:cs="Times New Roman"/>
          <w:sz w:val="24"/>
          <w:szCs w:val="24"/>
        </w:rPr>
      </w:pPr>
      <w:r w:rsidRPr="004C3110">
        <w:rPr>
          <w:rFonts w:ascii="Times New Roman" w:eastAsia="Times New Roman" w:hAnsi="Times New Roman" w:cs="Times New Roman"/>
          <w:sz w:val="24"/>
          <w:szCs w:val="24"/>
        </w:rPr>
        <w:t xml:space="preserve">Lithium isotopes have long been observed to undergo marked fractionation, both in geological environments and in analytical processes (Taylor and Urey 1938, Cameron 1955, </w:t>
      </w:r>
      <w:proofErr w:type="spellStart"/>
      <w:r w:rsidRPr="004C3110">
        <w:rPr>
          <w:rFonts w:ascii="Times New Roman" w:eastAsia="Times New Roman" w:hAnsi="Times New Roman" w:cs="Times New Roman"/>
          <w:sz w:val="24"/>
          <w:szCs w:val="24"/>
        </w:rPr>
        <w:t>Svec</w:t>
      </w:r>
      <w:proofErr w:type="spellEnd"/>
      <w:r w:rsidRPr="004C3110">
        <w:rPr>
          <w:rFonts w:ascii="Times New Roman" w:eastAsia="Times New Roman" w:hAnsi="Times New Roman" w:cs="Times New Roman"/>
          <w:sz w:val="24"/>
          <w:szCs w:val="24"/>
        </w:rPr>
        <w:t xml:space="preserve"> and Anderson 1965, Chan and Edmond 1988). Such fractionation stems from the nearly 17% difference in mass between lithium’s two isotopes, </w:t>
      </w:r>
      <w:r w:rsidRPr="004C3110">
        <w:rPr>
          <w:rFonts w:ascii="Times New Roman" w:eastAsia="Times New Roman" w:hAnsi="Times New Roman" w:cs="Times New Roman"/>
          <w:sz w:val="24"/>
          <w:szCs w:val="24"/>
          <w:vertAlign w:val="superscript"/>
        </w:rPr>
        <w:t>7</w:t>
      </w:r>
      <w:r w:rsidRPr="004C3110">
        <w:rPr>
          <w:rFonts w:ascii="Times New Roman" w:eastAsia="Times New Roman" w:hAnsi="Times New Roman" w:cs="Times New Roman"/>
          <w:sz w:val="24"/>
          <w:szCs w:val="24"/>
        </w:rPr>
        <w:t xml:space="preserve">Li and </w:t>
      </w:r>
      <w:r w:rsidRPr="004C3110">
        <w:rPr>
          <w:rFonts w:ascii="Times New Roman" w:eastAsia="Times New Roman" w:hAnsi="Times New Roman" w:cs="Times New Roman"/>
          <w:sz w:val="24"/>
          <w:szCs w:val="24"/>
          <w:vertAlign w:val="superscript"/>
        </w:rPr>
        <w:t>6</w:t>
      </w:r>
      <w:r w:rsidRPr="004C3110">
        <w:rPr>
          <w:rFonts w:ascii="Times New Roman" w:eastAsia="Times New Roman" w:hAnsi="Times New Roman" w:cs="Times New Roman"/>
          <w:sz w:val="24"/>
          <w:szCs w:val="24"/>
        </w:rPr>
        <w:t>Li. However, the geological processes and thermodynamic conditions conducive to pronounced or measurable fractionation in Li isotopes have yet to be fully delineated. Lithium occurs as a trace constituent in geological and hydrological environments, ranging from ultramafic to highly differentiated magmatic systems and from oceans, lakes, and rivers and to geothermal brines (</w:t>
      </w:r>
      <w:proofErr w:type="spellStart"/>
      <w:r w:rsidRPr="004C3110">
        <w:rPr>
          <w:rFonts w:ascii="Times New Roman" w:eastAsia="Times New Roman" w:hAnsi="Times New Roman" w:cs="Times New Roman"/>
          <w:sz w:val="24"/>
          <w:szCs w:val="24"/>
        </w:rPr>
        <w:t>Heier</w:t>
      </w:r>
      <w:proofErr w:type="spellEnd"/>
      <w:r w:rsidRPr="004C3110">
        <w:rPr>
          <w:rFonts w:ascii="Times New Roman" w:eastAsia="Times New Roman" w:hAnsi="Times New Roman" w:cs="Times New Roman"/>
          <w:sz w:val="24"/>
          <w:szCs w:val="24"/>
        </w:rPr>
        <w:t xml:space="preserve"> and Billings 1978, Ryan and Langmuir 1987); and Li isotopes have been evaluated as a petrogenetic tracer (</w:t>
      </w:r>
      <w:proofErr w:type="spellStart"/>
      <w:r w:rsidRPr="004C3110">
        <w:rPr>
          <w:rFonts w:ascii="Times New Roman" w:eastAsia="Times New Roman" w:hAnsi="Times New Roman" w:cs="Times New Roman"/>
          <w:sz w:val="24"/>
          <w:szCs w:val="24"/>
        </w:rPr>
        <w:t>Moriguti</w:t>
      </w:r>
      <w:proofErr w:type="spellEnd"/>
      <w:r w:rsidRPr="004C3110">
        <w:rPr>
          <w:rFonts w:ascii="Times New Roman" w:eastAsia="Times New Roman" w:hAnsi="Times New Roman" w:cs="Times New Roman"/>
          <w:sz w:val="24"/>
          <w:szCs w:val="24"/>
        </w:rPr>
        <w:t xml:space="preserve"> and Nakamura 1998, Chan et al 1999, Chan et al 2002a, </w:t>
      </w:r>
      <w:proofErr w:type="spellStart"/>
      <w:r w:rsidRPr="004C3110">
        <w:rPr>
          <w:rFonts w:ascii="Times New Roman" w:eastAsia="Times New Roman" w:hAnsi="Times New Roman" w:cs="Times New Roman"/>
          <w:sz w:val="24"/>
          <w:szCs w:val="24"/>
        </w:rPr>
        <w:t>Tomascak</w:t>
      </w:r>
      <w:proofErr w:type="spellEnd"/>
      <w:r w:rsidRPr="004C3110">
        <w:rPr>
          <w:rFonts w:ascii="Times New Roman" w:eastAsia="Times New Roman" w:hAnsi="Times New Roman" w:cs="Times New Roman"/>
          <w:sz w:val="24"/>
          <w:szCs w:val="24"/>
        </w:rPr>
        <w:t xml:space="preserve"> et al 2000) and as a hydrological tracer (</w:t>
      </w:r>
      <w:proofErr w:type="spellStart"/>
      <w:r w:rsidRPr="004C3110">
        <w:rPr>
          <w:rFonts w:ascii="Times New Roman" w:eastAsia="Times New Roman" w:hAnsi="Times New Roman" w:cs="Times New Roman"/>
          <w:sz w:val="24"/>
          <w:szCs w:val="24"/>
        </w:rPr>
        <w:t>Tomascak</w:t>
      </w:r>
      <w:proofErr w:type="spellEnd"/>
      <w:r w:rsidRPr="004C3110">
        <w:rPr>
          <w:rFonts w:ascii="Times New Roman" w:eastAsia="Times New Roman" w:hAnsi="Times New Roman" w:cs="Times New Roman"/>
          <w:sz w:val="24"/>
          <w:szCs w:val="24"/>
        </w:rPr>
        <w:t xml:space="preserve"> et al 1995a, </w:t>
      </w:r>
      <w:proofErr w:type="spellStart"/>
      <w:r w:rsidRPr="004C3110">
        <w:rPr>
          <w:rFonts w:ascii="Times New Roman" w:eastAsia="Times New Roman" w:hAnsi="Times New Roman" w:cs="Times New Roman"/>
          <w:sz w:val="24"/>
          <w:szCs w:val="24"/>
        </w:rPr>
        <w:t>Tomascak</w:t>
      </w:r>
      <w:proofErr w:type="spellEnd"/>
      <w:r w:rsidRPr="004C3110">
        <w:rPr>
          <w:rFonts w:ascii="Times New Roman" w:eastAsia="Times New Roman" w:hAnsi="Times New Roman" w:cs="Times New Roman"/>
          <w:sz w:val="24"/>
          <w:szCs w:val="24"/>
        </w:rPr>
        <w:t xml:space="preserve"> et al 1995b, Bottomley et al 1999, Chan et al 2002b, </w:t>
      </w:r>
      <w:proofErr w:type="spellStart"/>
      <w:r w:rsidRPr="004C3110">
        <w:rPr>
          <w:rFonts w:ascii="Times New Roman" w:eastAsia="Times New Roman" w:hAnsi="Times New Roman" w:cs="Times New Roman"/>
          <w:sz w:val="24"/>
          <w:szCs w:val="24"/>
        </w:rPr>
        <w:t>Tomascak</w:t>
      </w:r>
      <w:proofErr w:type="spellEnd"/>
      <w:r w:rsidRPr="004C3110">
        <w:rPr>
          <w:rFonts w:ascii="Times New Roman" w:eastAsia="Times New Roman" w:hAnsi="Times New Roman" w:cs="Times New Roman"/>
          <w:sz w:val="24"/>
          <w:szCs w:val="24"/>
        </w:rPr>
        <w:t xml:space="preserve"> et al 2003). In contrast with other stable isotope systems (e.g., O, H, B, N, C, and S), lithium may be particularly suited to act as a tracer for aqueous fluids, volatiles, and metals in magmatic-hydrothermal systems, because it is transported primarily as a chloride in aqueous fluids and may be studied as a chloride-complexed element (Webster et al 1989, Bos 1990).</w:t>
      </w:r>
    </w:p>
    <w:p w:rsidR="004C3110" w:rsidRPr="004C3110" w:rsidRDefault="004C3110" w:rsidP="004C3110">
      <w:pPr>
        <w:spacing w:before="100" w:beforeAutospacing="1" w:after="100" w:afterAutospacing="1" w:line="240" w:lineRule="auto"/>
        <w:rPr>
          <w:rFonts w:ascii="Times New Roman" w:eastAsia="Times New Roman" w:hAnsi="Times New Roman" w:cs="Times New Roman"/>
          <w:sz w:val="24"/>
          <w:szCs w:val="24"/>
        </w:rPr>
      </w:pPr>
      <w:r w:rsidRPr="004C3110">
        <w:rPr>
          <w:rFonts w:ascii="Times New Roman" w:eastAsia="Times New Roman" w:hAnsi="Times New Roman" w:cs="Times New Roman"/>
          <w:sz w:val="24"/>
          <w:szCs w:val="24"/>
        </w:rPr>
        <w:t>Lithium isotopes have been found to display systematic fractionation at relatively low to moderate temperatures (</w:t>
      </w:r>
      <w:r w:rsidRPr="004C3110">
        <w:rPr>
          <w:rFonts w:ascii="Cambria Math" w:eastAsia="Times New Roman" w:hAnsi="Cambria Math" w:cs="Cambria Math"/>
          <w:sz w:val="24"/>
          <w:szCs w:val="24"/>
        </w:rPr>
        <w:t>∼</w:t>
      </w:r>
      <w:r w:rsidRPr="004C3110">
        <w:rPr>
          <w:rFonts w:ascii="Times New Roman" w:eastAsia="Times New Roman" w:hAnsi="Times New Roman" w:cs="Times New Roman"/>
          <w:sz w:val="24"/>
          <w:szCs w:val="24"/>
        </w:rPr>
        <w:t>0°–350°C) in marine environments (Chan and Edmond 1988, Chan et al 1992). At low temperatures, seawater (δ</w:t>
      </w:r>
      <w:r w:rsidRPr="004C3110">
        <w:rPr>
          <w:rFonts w:ascii="Times New Roman" w:eastAsia="Times New Roman" w:hAnsi="Times New Roman" w:cs="Times New Roman"/>
          <w:sz w:val="24"/>
          <w:szCs w:val="24"/>
          <w:vertAlign w:val="superscript"/>
        </w:rPr>
        <w:t>7</w:t>
      </w:r>
      <w:r w:rsidRPr="004C3110">
        <w:rPr>
          <w:rFonts w:ascii="Times New Roman" w:eastAsia="Times New Roman" w:hAnsi="Times New Roman" w:cs="Times New Roman"/>
          <w:sz w:val="24"/>
          <w:szCs w:val="24"/>
        </w:rPr>
        <w:t xml:space="preserve">Li ≈ +32‰) generally is enriched in </w:t>
      </w:r>
      <w:r w:rsidRPr="004C3110">
        <w:rPr>
          <w:rFonts w:ascii="Times New Roman" w:eastAsia="Times New Roman" w:hAnsi="Times New Roman" w:cs="Times New Roman"/>
          <w:sz w:val="24"/>
          <w:szCs w:val="24"/>
          <w:vertAlign w:val="superscript"/>
        </w:rPr>
        <w:t>7</w:t>
      </w:r>
      <w:r w:rsidRPr="004C3110">
        <w:rPr>
          <w:rFonts w:ascii="Times New Roman" w:eastAsia="Times New Roman" w:hAnsi="Times New Roman" w:cs="Times New Roman"/>
          <w:sz w:val="24"/>
          <w:szCs w:val="24"/>
        </w:rPr>
        <w:t xml:space="preserve">Li by </w:t>
      </w:r>
      <w:r w:rsidRPr="004C3110">
        <w:rPr>
          <w:rFonts w:ascii="Cambria Math" w:eastAsia="Times New Roman" w:hAnsi="Cambria Math" w:cs="Cambria Math"/>
          <w:sz w:val="24"/>
          <w:szCs w:val="24"/>
        </w:rPr>
        <w:t>∼</w:t>
      </w:r>
      <w:r w:rsidRPr="004C3110">
        <w:rPr>
          <w:rFonts w:ascii="Times New Roman" w:eastAsia="Times New Roman" w:hAnsi="Times New Roman" w:cs="Times New Roman"/>
          <w:sz w:val="24"/>
          <w:szCs w:val="24"/>
        </w:rPr>
        <w:t>30‰ relative to unaltered basalts (δ</w:t>
      </w:r>
      <w:r w:rsidRPr="004C3110">
        <w:rPr>
          <w:rFonts w:ascii="Times New Roman" w:eastAsia="Times New Roman" w:hAnsi="Times New Roman" w:cs="Times New Roman"/>
          <w:sz w:val="24"/>
          <w:szCs w:val="24"/>
          <w:vertAlign w:val="superscript"/>
        </w:rPr>
        <w:t>7</w:t>
      </w:r>
      <w:r w:rsidRPr="004C3110">
        <w:rPr>
          <w:rFonts w:ascii="Times New Roman" w:eastAsia="Times New Roman" w:hAnsi="Times New Roman" w:cs="Times New Roman"/>
          <w:sz w:val="24"/>
          <w:szCs w:val="24"/>
        </w:rPr>
        <w:t>Li ≈ +1 to + 6‰). In contrast with such fractionation observed at low to moderate temperatures, a suite of Hawaiian basalts that crystallized at relatively high temperatures (</w:t>
      </w:r>
      <w:r w:rsidRPr="004C3110">
        <w:rPr>
          <w:rFonts w:ascii="Cambria Math" w:eastAsia="Times New Roman" w:hAnsi="Cambria Math" w:cs="Cambria Math"/>
          <w:sz w:val="24"/>
          <w:szCs w:val="24"/>
        </w:rPr>
        <w:t>∼</w:t>
      </w:r>
      <w:r w:rsidRPr="004C3110">
        <w:rPr>
          <w:rFonts w:ascii="Times New Roman" w:eastAsia="Times New Roman" w:hAnsi="Times New Roman" w:cs="Times New Roman"/>
          <w:sz w:val="24"/>
          <w:szCs w:val="24"/>
        </w:rPr>
        <w:t xml:space="preserve">1050°C to &gt;1200°C) showed no evidence of Li isotopic fractionation resolvable within ± 1.1‰ </w:t>
      </w:r>
      <w:r w:rsidRPr="004C3110">
        <w:rPr>
          <w:rFonts w:ascii="Times New Roman" w:eastAsia="Times New Roman" w:hAnsi="Times New Roman" w:cs="Times New Roman"/>
          <w:sz w:val="24"/>
          <w:szCs w:val="24"/>
        </w:rPr>
        <w:lastRenderedPageBreak/>
        <w:t>(2σ) during crystal-liquid fractionation, despite a wide range of bulk chemical compositions (</w:t>
      </w:r>
      <w:proofErr w:type="spellStart"/>
      <w:r w:rsidRPr="004C3110">
        <w:rPr>
          <w:rFonts w:ascii="Times New Roman" w:eastAsia="Times New Roman" w:hAnsi="Times New Roman" w:cs="Times New Roman"/>
          <w:sz w:val="24"/>
          <w:szCs w:val="24"/>
        </w:rPr>
        <w:t>Tomascak</w:t>
      </w:r>
      <w:proofErr w:type="spellEnd"/>
      <w:r w:rsidRPr="004C3110">
        <w:rPr>
          <w:rFonts w:ascii="Times New Roman" w:eastAsia="Times New Roman" w:hAnsi="Times New Roman" w:cs="Times New Roman"/>
          <w:sz w:val="24"/>
          <w:szCs w:val="24"/>
        </w:rPr>
        <w:t xml:space="preserve"> et al., 1999a). However, no previous study has determined whether systematic Li isotopic fractionation occurs at intermediate temperatures applicable to magmatic processes (on the order of </w:t>
      </w:r>
      <w:r w:rsidRPr="004C3110">
        <w:rPr>
          <w:rFonts w:ascii="Cambria Math" w:eastAsia="Times New Roman" w:hAnsi="Cambria Math" w:cs="Cambria Math"/>
          <w:sz w:val="24"/>
          <w:szCs w:val="24"/>
        </w:rPr>
        <w:t>∼</w:t>
      </w:r>
      <w:r w:rsidRPr="004C3110">
        <w:rPr>
          <w:rFonts w:ascii="Times New Roman" w:eastAsia="Times New Roman" w:hAnsi="Times New Roman" w:cs="Times New Roman"/>
          <w:sz w:val="24"/>
          <w:szCs w:val="24"/>
        </w:rPr>
        <w:t>400°–900°C). Some preliminary isotopic data obtained for granitic and granodioritic rock and mineral specimens, including pegmatite samples, have indicated considerable variability in lithium isotopic compositions (</w:t>
      </w:r>
      <w:proofErr w:type="spellStart"/>
      <w:r w:rsidRPr="004C3110">
        <w:rPr>
          <w:rFonts w:ascii="Times New Roman" w:eastAsia="Times New Roman" w:hAnsi="Times New Roman" w:cs="Times New Roman"/>
          <w:sz w:val="24"/>
          <w:szCs w:val="24"/>
        </w:rPr>
        <w:t>Vocke</w:t>
      </w:r>
      <w:proofErr w:type="spellEnd"/>
      <w:r w:rsidRPr="004C3110">
        <w:rPr>
          <w:rFonts w:ascii="Times New Roman" w:eastAsia="Times New Roman" w:hAnsi="Times New Roman" w:cs="Times New Roman"/>
          <w:sz w:val="24"/>
          <w:szCs w:val="24"/>
        </w:rPr>
        <w:t xml:space="preserve"> et al 1990, </w:t>
      </w:r>
      <w:proofErr w:type="spellStart"/>
      <w:r w:rsidRPr="004C3110">
        <w:rPr>
          <w:rFonts w:ascii="Times New Roman" w:eastAsia="Times New Roman" w:hAnsi="Times New Roman" w:cs="Times New Roman"/>
          <w:sz w:val="24"/>
          <w:szCs w:val="24"/>
        </w:rPr>
        <w:t>Tomascak</w:t>
      </w:r>
      <w:proofErr w:type="spellEnd"/>
      <w:r w:rsidRPr="004C3110">
        <w:rPr>
          <w:rFonts w:ascii="Times New Roman" w:eastAsia="Times New Roman" w:hAnsi="Times New Roman" w:cs="Times New Roman"/>
          <w:sz w:val="24"/>
          <w:szCs w:val="24"/>
        </w:rPr>
        <w:t xml:space="preserve"> et al 1995c, </w:t>
      </w:r>
      <w:proofErr w:type="spellStart"/>
      <w:r w:rsidRPr="004C3110">
        <w:rPr>
          <w:rFonts w:ascii="Times New Roman" w:eastAsia="Times New Roman" w:hAnsi="Times New Roman" w:cs="Times New Roman"/>
          <w:sz w:val="24"/>
          <w:szCs w:val="24"/>
        </w:rPr>
        <w:t>Tomascak</w:t>
      </w:r>
      <w:proofErr w:type="spellEnd"/>
      <w:r w:rsidRPr="004C3110">
        <w:rPr>
          <w:rFonts w:ascii="Times New Roman" w:eastAsia="Times New Roman" w:hAnsi="Times New Roman" w:cs="Times New Roman"/>
          <w:sz w:val="24"/>
          <w:szCs w:val="24"/>
        </w:rPr>
        <w:t xml:space="preserve"> et al 1995d, Huh et al 1998, Bottomley et al 2003). Nevertheless, it has not been ascertained whether this variability reflects the effects of temperature, </w:t>
      </w:r>
      <w:proofErr w:type="spellStart"/>
      <w:r w:rsidRPr="004C3110">
        <w:rPr>
          <w:rFonts w:ascii="Times New Roman" w:eastAsia="Times New Roman" w:hAnsi="Times New Roman" w:cs="Times New Roman"/>
          <w:sz w:val="24"/>
          <w:szCs w:val="24"/>
        </w:rPr>
        <w:t>intermineral</w:t>
      </w:r>
      <w:proofErr w:type="spellEnd"/>
      <w:r w:rsidRPr="004C3110">
        <w:rPr>
          <w:rFonts w:ascii="Times New Roman" w:eastAsia="Times New Roman" w:hAnsi="Times New Roman" w:cs="Times New Roman"/>
          <w:sz w:val="24"/>
          <w:szCs w:val="24"/>
        </w:rPr>
        <w:t xml:space="preserve"> fractionation, genetic heterogeneities, or other factors.</w:t>
      </w:r>
    </w:p>
    <w:p w:rsidR="004C3110" w:rsidRPr="004C3110" w:rsidRDefault="004C3110" w:rsidP="004C3110">
      <w:pPr>
        <w:spacing w:before="100" w:beforeAutospacing="1" w:after="100" w:afterAutospacing="1" w:line="240" w:lineRule="auto"/>
        <w:rPr>
          <w:rFonts w:ascii="Times New Roman" w:eastAsia="Times New Roman" w:hAnsi="Times New Roman" w:cs="Times New Roman"/>
          <w:sz w:val="24"/>
          <w:szCs w:val="24"/>
        </w:rPr>
      </w:pPr>
      <w:r w:rsidRPr="004C3110">
        <w:rPr>
          <w:rFonts w:ascii="Times New Roman" w:eastAsia="Times New Roman" w:hAnsi="Times New Roman" w:cs="Times New Roman"/>
          <w:sz w:val="24"/>
          <w:szCs w:val="24"/>
        </w:rPr>
        <w:t>In this experimental study, the fractionation of lithium isotopes among quartz, muscovite, and a chlorine-bearing aqueous fluid has been investigated at 400°–500°C and 50–100 MPa. The results provide the first evidence of systematic fractionation in lithium isotopes among the two minerals and the aqueous fluid within a temperature range applicable to some magmatic processes, particularly in granitic environments and in magmatic-hydrothermal systems. By demonstrating the susceptibility of some common minerals to rapid isotopic exchange with a Li-bearing fluid at temperatures applicable to magmatic systems, the study may also help to constrain the use of lithium isotopes as a petrogenetic tracer, particularly in circumstances in which interactions with aqueous fluids may be considered likely to have occurred.</w:t>
      </w:r>
    </w:p>
    <w:p w:rsidR="004C3110" w:rsidRPr="004C3110" w:rsidRDefault="004C3110" w:rsidP="004C3110">
      <w:pPr>
        <w:spacing w:before="100" w:beforeAutospacing="1" w:after="100" w:afterAutospacing="1" w:line="240" w:lineRule="auto"/>
        <w:outlineLvl w:val="1"/>
        <w:rPr>
          <w:rFonts w:ascii="Times New Roman" w:eastAsia="Times New Roman" w:hAnsi="Times New Roman" w:cs="Times New Roman"/>
          <w:b/>
          <w:bCs/>
          <w:sz w:val="36"/>
          <w:szCs w:val="36"/>
        </w:rPr>
      </w:pPr>
      <w:r w:rsidRPr="004C3110">
        <w:rPr>
          <w:rFonts w:ascii="Times New Roman" w:eastAsia="Times New Roman" w:hAnsi="Times New Roman" w:cs="Times New Roman"/>
          <w:b/>
          <w:bCs/>
          <w:sz w:val="36"/>
          <w:szCs w:val="36"/>
        </w:rPr>
        <w:t>Section snippets</w:t>
      </w:r>
    </w:p>
    <w:p w:rsidR="004C3110" w:rsidRPr="004C3110" w:rsidRDefault="004C3110" w:rsidP="004C3110">
      <w:pPr>
        <w:spacing w:before="100" w:beforeAutospacing="1" w:after="100" w:afterAutospacing="1" w:line="240" w:lineRule="auto"/>
        <w:outlineLvl w:val="1"/>
        <w:rPr>
          <w:rFonts w:ascii="Times New Roman" w:eastAsia="Times New Roman" w:hAnsi="Times New Roman" w:cs="Times New Roman"/>
          <w:b/>
          <w:bCs/>
          <w:sz w:val="36"/>
          <w:szCs w:val="36"/>
        </w:rPr>
      </w:pPr>
      <w:r w:rsidRPr="004C3110">
        <w:rPr>
          <w:rFonts w:ascii="Times New Roman" w:eastAsia="Times New Roman" w:hAnsi="Times New Roman" w:cs="Times New Roman"/>
          <w:b/>
          <w:bCs/>
          <w:sz w:val="36"/>
          <w:szCs w:val="36"/>
        </w:rPr>
        <w:t>Experimental Procedure</w:t>
      </w:r>
    </w:p>
    <w:p w:rsidR="004C3110" w:rsidRPr="004C3110" w:rsidRDefault="004C3110" w:rsidP="004C3110">
      <w:pPr>
        <w:spacing w:before="100" w:beforeAutospacing="1" w:after="100" w:afterAutospacing="1" w:line="240" w:lineRule="auto"/>
        <w:rPr>
          <w:rFonts w:ascii="Times New Roman" w:eastAsia="Times New Roman" w:hAnsi="Times New Roman" w:cs="Times New Roman"/>
          <w:sz w:val="24"/>
          <w:szCs w:val="24"/>
        </w:rPr>
      </w:pPr>
      <w:r w:rsidRPr="004C3110">
        <w:rPr>
          <w:rFonts w:ascii="Times New Roman" w:eastAsia="Times New Roman" w:hAnsi="Times New Roman" w:cs="Times New Roman"/>
          <w:sz w:val="24"/>
          <w:szCs w:val="24"/>
        </w:rPr>
        <w:t>Experiments were conducted at 400° and 500°C and 50 to 100 MPa for durations of 15 to 60 days. Natural quartz and muscovite samples were enclosed in Pt capsules (</w:t>
      </w:r>
      <w:r w:rsidRPr="004C3110">
        <w:rPr>
          <w:rFonts w:ascii="Cambria Math" w:eastAsia="Times New Roman" w:hAnsi="Cambria Math" w:cs="Cambria Math"/>
          <w:sz w:val="24"/>
          <w:szCs w:val="24"/>
        </w:rPr>
        <w:t>∼</w:t>
      </w:r>
      <w:r w:rsidRPr="004C3110">
        <w:rPr>
          <w:rFonts w:ascii="Times New Roman" w:eastAsia="Times New Roman" w:hAnsi="Times New Roman" w:cs="Times New Roman"/>
          <w:sz w:val="24"/>
          <w:szCs w:val="24"/>
        </w:rPr>
        <w:t xml:space="preserve">0.8 cm outer diameter; </w:t>
      </w:r>
      <w:r w:rsidRPr="004C3110">
        <w:rPr>
          <w:rFonts w:ascii="Cambria Math" w:eastAsia="Times New Roman" w:hAnsi="Cambria Math" w:cs="Cambria Math"/>
          <w:sz w:val="24"/>
          <w:szCs w:val="24"/>
        </w:rPr>
        <w:t>∼</w:t>
      </w:r>
      <w:r w:rsidRPr="004C3110">
        <w:rPr>
          <w:rFonts w:ascii="Times New Roman" w:eastAsia="Times New Roman" w:hAnsi="Times New Roman" w:cs="Times New Roman"/>
          <w:sz w:val="24"/>
          <w:szCs w:val="24"/>
        </w:rPr>
        <w:t xml:space="preserve">3 cm length), along with an aqueous fluid and other starting materials (phlogopite and K-feldspar). The capsules were loaded into Inconel 625 cold seal vessels and pressurized with argon. The experimental conditions were within the stability range of the two minerals (e.g., </w:t>
      </w:r>
      <w:proofErr w:type="spellStart"/>
      <w:r w:rsidRPr="004C3110">
        <w:rPr>
          <w:rFonts w:ascii="Times New Roman" w:eastAsia="Times New Roman" w:hAnsi="Times New Roman" w:cs="Times New Roman"/>
          <w:sz w:val="24"/>
          <w:szCs w:val="24"/>
        </w:rPr>
        <w:t>Sverjensky</w:t>
      </w:r>
      <w:proofErr w:type="spellEnd"/>
      <w:r w:rsidRPr="004C3110">
        <w:rPr>
          <w:rFonts w:ascii="Times New Roman" w:eastAsia="Times New Roman" w:hAnsi="Times New Roman" w:cs="Times New Roman"/>
          <w:sz w:val="24"/>
          <w:szCs w:val="24"/>
        </w:rPr>
        <w:t xml:space="preserve"> et al., 1991) and were</w:t>
      </w:r>
    </w:p>
    <w:p w:rsidR="004C3110" w:rsidRPr="004C3110" w:rsidRDefault="004C3110" w:rsidP="004C3110">
      <w:pPr>
        <w:spacing w:before="100" w:beforeAutospacing="1" w:after="100" w:afterAutospacing="1" w:line="240" w:lineRule="auto"/>
        <w:outlineLvl w:val="1"/>
        <w:rPr>
          <w:rFonts w:ascii="Times New Roman" w:eastAsia="Times New Roman" w:hAnsi="Times New Roman" w:cs="Times New Roman"/>
          <w:b/>
          <w:bCs/>
          <w:sz w:val="36"/>
          <w:szCs w:val="36"/>
        </w:rPr>
      </w:pPr>
      <w:r w:rsidRPr="004C3110">
        <w:rPr>
          <w:rFonts w:ascii="Times New Roman" w:eastAsia="Times New Roman" w:hAnsi="Times New Roman" w:cs="Times New Roman"/>
          <w:b/>
          <w:bCs/>
          <w:sz w:val="36"/>
          <w:szCs w:val="36"/>
        </w:rPr>
        <w:t>Results</w:t>
      </w:r>
    </w:p>
    <w:p w:rsidR="004C3110" w:rsidRPr="004C3110" w:rsidRDefault="004C3110" w:rsidP="004C3110">
      <w:pPr>
        <w:spacing w:before="100" w:beforeAutospacing="1" w:after="100" w:afterAutospacing="1" w:line="240" w:lineRule="auto"/>
        <w:rPr>
          <w:rFonts w:ascii="Times New Roman" w:eastAsia="Times New Roman" w:hAnsi="Times New Roman" w:cs="Times New Roman"/>
          <w:sz w:val="24"/>
          <w:szCs w:val="24"/>
        </w:rPr>
      </w:pPr>
      <w:r w:rsidRPr="004C3110">
        <w:rPr>
          <w:rFonts w:ascii="Times New Roman" w:eastAsia="Times New Roman" w:hAnsi="Times New Roman" w:cs="Times New Roman"/>
          <w:sz w:val="24"/>
          <w:szCs w:val="24"/>
        </w:rPr>
        <w:t xml:space="preserve">The experiments at 500°C with 1 </w:t>
      </w:r>
      <w:r w:rsidRPr="004C3110">
        <w:rPr>
          <w:rFonts w:ascii="Times New Roman" w:eastAsia="Times New Roman" w:hAnsi="Times New Roman" w:cs="Times New Roman"/>
          <w:i/>
          <w:iCs/>
          <w:sz w:val="24"/>
          <w:szCs w:val="24"/>
        </w:rPr>
        <w:t>M</w:t>
      </w:r>
      <w:r w:rsidRPr="004C3110">
        <w:rPr>
          <w:rFonts w:ascii="Times New Roman" w:eastAsia="Times New Roman" w:hAnsi="Times New Roman" w:cs="Times New Roman"/>
          <w:sz w:val="24"/>
          <w:szCs w:val="24"/>
        </w:rPr>
        <w:t xml:space="preserve"> chloride concentrations in the starting fluid were consistent in showing pronounced shifts in Li isotopic compositions among the three mineral and fluid phases. In general, the experiments yielded heavier Li isotopic compositions in muscovite compared with those of quartz and heavier Li isotopic compositions in both minerals compared with those of the aqueous fluid. The results also suggested differences between the two minerals in the kinetics of Li isotopic</w:t>
      </w:r>
    </w:p>
    <w:p w:rsidR="004C3110" w:rsidRPr="004C3110" w:rsidRDefault="004C3110" w:rsidP="004C3110">
      <w:pPr>
        <w:spacing w:before="100" w:beforeAutospacing="1" w:after="100" w:afterAutospacing="1" w:line="240" w:lineRule="auto"/>
        <w:outlineLvl w:val="1"/>
        <w:rPr>
          <w:rFonts w:ascii="Times New Roman" w:eastAsia="Times New Roman" w:hAnsi="Times New Roman" w:cs="Times New Roman"/>
          <w:b/>
          <w:bCs/>
          <w:sz w:val="36"/>
          <w:szCs w:val="36"/>
        </w:rPr>
      </w:pPr>
      <w:r w:rsidRPr="004C3110">
        <w:rPr>
          <w:rFonts w:ascii="Times New Roman" w:eastAsia="Times New Roman" w:hAnsi="Times New Roman" w:cs="Times New Roman"/>
          <w:b/>
          <w:bCs/>
          <w:sz w:val="36"/>
          <w:szCs w:val="36"/>
        </w:rPr>
        <w:t>Lithium Isotopic Fractionation (</w:t>
      </w:r>
      <w:proofErr w:type="spellStart"/>
      <w:r w:rsidRPr="004C3110">
        <w:rPr>
          <w:rFonts w:ascii="Times New Roman" w:eastAsia="Times New Roman" w:hAnsi="Times New Roman" w:cs="Times New Roman"/>
          <w:b/>
          <w:bCs/>
          <w:sz w:val="36"/>
          <w:szCs w:val="36"/>
        </w:rPr>
        <w:t>Δ</w:t>
      </w:r>
      <w:r w:rsidRPr="004C3110">
        <w:rPr>
          <w:rFonts w:ascii="Times New Roman" w:eastAsia="Times New Roman" w:hAnsi="Times New Roman" w:cs="Times New Roman"/>
          <w:b/>
          <w:bCs/>
          <w:sz w:val="36"/>
          <w:szCs w:val="36"/>
          <w:vertAlign w:val="subscript"/>
        </w:rPr>
        <w:t>mineral</w:t>
      </w:r>
      <w:proofErr w:type="spellEnd"/>
      <w:r w:rsidRPr="004C3110">
        <w:rPr>
          <w:rFonts w:ascii="Times New Roman" w:eastAsia="Times New Roman" w:hAnsi="Times New Roman" w:cs="Times New Roman"/>
          <w:b/>
          <w:bCs/>
          <w:sz w:val="36"/>
          <w:szCs w:val="36"/>
          <w:vertAlign w:val="subscript"/>
        </w:rPr>
        <w:t>-aqueous</w:t>
      </w:r>
      <w:r w:rsidRPr="004C3110">
        <w:rPr>
          <w:rFonts w:ascii="Times New Roman" w:eastAsia="Times New Roman" w:hAnsi="Times New Roman" w:cs="Times New Roman"/>
          <w:b/>
          <w:bCs/>
          <w:sz w:val="36"/>
          <w:szCs w:val="36"/>
        </w:rPr>
        <w:t>)</w:t>
      </w:r>
    </w:p>
    <w:p w:rsidR="004C3110" w:rsidRPr="004C3110" w:rsidRDefault="004C3110" w:rsidP="004C3110">
      <w:pPr>
        <w:spacing w:before="100" w:beforeAutospacing="1" w:after="100" w:afterAutospacing="1" w:line="240" w:lineRule="auto"/>
        <w:rPr>
          <w:rFonts w:ascii="Times New Roman" w:eastAsia="Times New Roman" w:hAnsi="Times New Roman" w:cs="Times New Roman"/>
          <w:sz w:val="24"/>
          <w:szCs w:val="24"/>
        </w:rPr>
      </w:pPr>
      <w:r w:rsidRPr="004C3110">
        <w:rPr>
          <w:rFonts w:ascii="Times New Roman" w:eastAsia="Times New Roman" w:hAnsi="Times New Roman" w:cs="Times New Roman"/>
          <w:sz w:val="24"/>
          <w:szCs w:val="24"/>
        </w:rPr>
        <w:t>The experimental results demonstrate that quartz and muscovite may undergo rapid, sizable, and distinct changes in their lithium isotopic compositions by diffusion through interaction with a Li-bearing fluid at 500°C and 60–100 MPa. At 400°C, substantial changes in the δ</w:t>
      </w:r>
      <w:r w:rsidRPr="004C3110">
        <w:rPr>
          <w:rFonts w:ascii="Times New Roman" w:eastAsia="Times New Roman" w:hAnsi="Times New Roman" w:cs="Times New Roman"/>
          <w:sz w:val="24"/>
          <w:szCs w:val="24"/>
          <w:vertAlign w:val="superscript"/>
        </w:rPr>
        <w:t>7</w:t>
      </w:r>
      <w:r w:rsidRPr="004C3110">
        <w:rPr>
          <w:rFonts w:ascii="Times New Roman" w:eastAsia="Times New Roman" w:hAnsi="Times New Roman" w:cs="Times New Roman"/>
          <w:sz w:val="24"/>
          <w:szCs w:val="24"/>
        </w:rPr>
        <w:t>Li values of quartz samples were observed, particularly after 60 days; however, no such shift was evident in the muscovite specimens at the lower temperature, apparently reflecting more sluggish kinetics for muscovite. None of</w:t>
      </w:r>
    </w:p>
    <w:p w:rsidR="004C3110" w:rsidRPr="004C3110" w:rsidRDefault="004C3110" w:rsidP="004C3110">
      <w:pPr>
        <w:spacing w:before="100" w:beforeAutospacing="1" w:after="100" w:afterAutospacing="1" w:line="240" w:lineRule="auto"/>
        <w:outlineLvl w:val="1"/>
        <w:rPr>
          <w:rFonts w:ascii="Times New Roman" w:eastAsia="Times New Roman" w:hAnsi="Times New Roman" w:cs="Times New Roman"/>
          <w:b/>
          <w:bCs/>
          <w:sz w:val="36"/>
          <w:szCs w:val="36"/>
        </w:rPr>
      </w:pPr>
      <w:r w:rsidRPr="004C3110">
        <w:rPr>
          <w:rFonts w:ascii="Times New Roman" w:eastAsia="Times New Roman" w:hAnsi="Times New Roman" w:cs="Times New Roman"/>
          <w:b/>
          <w:bCs/>
          <w:sz w:val="36"/>
          <w:szCs w:val="36"/>
        </w:rPr>
        <w:lastRenderedPageBreak/>
        <w:t>Conclusions</w:t>
      </w:r>
    </w:p>
    <w:p w:rsidR="004C3110" w:rsidRPr="004C3110" w:rsidRDefault="004C3110" w:rsidP="004C3110">
      <w:pPr>
        <w:spacing w:before="100" w:beforeAutospacing="1" w:after="100" w:afterAutospacing="1" w:line="240" w:lineRule="auto"/>
        <w:rPr>
          <w:rFonts w:ascii="Times New Roman" w:eastAsia="Times New Roman" w:hAnsi="Times New Roman" w:cs="Times New Roman"/>
          <w:sz w:val="24"/>
          <w:szCs w:val="24"/>
        </w:rPr>
      </w:pPr>
      <w:r w:rsidRPr="004C3110">
        <w:rPr>
          <w:rFonts w:ascii="Times New Roman" w:eastAsia="Times New Roman" w:hAnsi="Times New Roman" w:cs="Times New Roman"/>
          <w:sz w:val="24"/>
          <w:szCs w:val="24"/>
        </w:rPr>
        <w:t>The experimental data indicate that quartz and muscovite are susceptible to pronounced, rapid changes in their lithium isotopic compositions by diffusion in the presence of a Li-bearing aqueous fluid at 500°C and 60–100 MPa. Shifts of &gt;10‰ have been observed in the δ</w:t>
      </w:r>
      <w:r w:rsidRPr="004C3110">
        <w:rPr>
          <w:rFonts w:ascii="Times New Roman" w:eastAsia="Times New Roman" w:hAnsi="Times New Roman" w:cs="Times New Roman"/>
          <w:sz w:val="24"/>
          <w:szCs w:val="24"/>
          <w:vertAlign w:val="superscript"/>
        </w:rPr>
        <w:t>7</w:t>
      </w:r>
      <w:r w:rsidRPr="004C3110">
        <w:rPr>
          <w:rFonts w:ascii="Times New Roman" w:eastAsia="Times New Roman" w:hAnsi="Times New Roman" w:cs="Times New Roman"/>
          <w:sz w:val="24"/>
          <w:szCs w:val="24"/>
        </w:rPr>
        <w:t xml:space="preserve">Li values of both minerals within 15–30 days at 500°C. The breadth of the Li isotopic exchanges has been further demonstrated in two experiments in which a </w:t>
      </w:r>
      <w:r w:rsidRPr="004C3110">
        <w:rPr>
          <w:rFonts w:ascii="Times New Roman" w:eastAsia="Times New Roman" w:hAnsi="Times New Roman" w:cs="Times New Roman"/>
          <w:sz w:val="24"/>
          <w:szCs w:val="24"/>
          <w:vertAlign w:val="superscript"/>
        </w:rPr>
        <w:t>6</w:t>
      </w:r>
      <w:r w:rsidRPr="004C3110">
        <w:rPr>
          <w:rFonts w:ascii="Times New Roman" w:eastAsia="Times New Roman" w:hAnsi="Times New Roman" w:cs="Times New Roman"/>
          <w:sz w:val="24"/>
          <w:szCs w:val="24"/>
        </w:rPr>
        <w:t xml:space="preserve">Li spike (95.3% </w:t>
      </w:r>
      <w:r w:rsidRPr="004C3110">
        <w:rPr>
          <w:rFonts w:ascii="Times New Roman" w:eastAsia="Times New Roman" w:hAnsi="Times New Roman" w:cs="Times New Roman"/>
          <w:sz w:val="24"/>
          <w:szCs w:val="24"/>
          <w:vertAlign w:val="superscript"/>
        </w:rPr>
        <w:t>6</w:t>
      </w:r>
      <w:r w:rsidRPr="004C3110">
        <w:rPr>
          <w:rFonts w:ascii="Times New Roman" w:eastAsia="Times New Roman" w:hAnsi="Times New Roman" w:cs="Times New Roman"/>
          <w:sz w:val="24"/>
          <w:szCs w:val="24"/>
        </w:rPr>
        <w:t xml:space="preserve">Li) was incorporated into the experimental fluid in place </w:t>
      </w:r>
    </w:p>
    <w:p w:rsidR="004C3110" w:rsidRPr="004C3110" w:rsidRDefault="004C3110" w:rsidP="004C3110">
      <w:pPr>
        <w:spacing w:before="100" w:beforeAutospacing="1" w:after="100" w:afterAutospacing="1" w:line="240" w:lineRule="auto"/>
        <w:outlineLvl w:val="1"/>
        <w:rPr>
          <w:rFonts w:ascii="Times New Roman" w:eastAsia="Times New Roman" w:hAnsi="Times New Roman" w:cs="Times New Roman"/>
          <w:b/>
          <w:bCs/>
          <w:sz w:val="36"/>
          <w:szCs w:val="36"/>
        </w:rPr>
      </w:pPr>
      <w:r w:rsidRPr="004C3110">
        <w:rPr>
          <w:rFonts w:ascii="Times New Roman" w:eastAsia="Times New Roman" w:hAnsi="Times New Roman" w:cs="Times New Roman"/>
          <w:b/>
          <w:bCs/>
          <w:sz w:val="36"/>
          <w:szCs w:val="36"/>
        </w:rPr>
        <w:t>Acknowledgments</w:t>
      </w:r>
    </w:p>
    <w:p w:rsidR="004C3110" w:rsidRPr="004C3110" w:rsidRDefault="004C3110" w:rsidP="004C3110">
      <w:pPr>
        <w:spacing w:before="100" w:beforeAutospacing="1" w:after="100" w:afterAutospacing="1" w:line="240" w:lineRule="auto"/>
        <w:rPr>
          <w:rFonts w:ascii="Times New Roman" w:eastAsia="Times New Roman" w:hAnsi="Times New Roman" w:cs="Times New Roman"/>
          <w:sz w:val="24"/>
          <w:szCs w:val="24"/>
        </w:rPr>
      </w:pPr>
      <w:r w:rsidRPr="004C3110">
        <w:rPr>
          <w:rFonts w:ascii="Times New Roman" w:eastAsia="Times New Roman" w:hAnsi="Times New Roman" w:cs="Times New Roman"/>
          <w:sz w:val="24"/>
          <w:szCs w:val="24"/>
        </w:rPr>
        <w:t xml:space="preserve">The authors are grateful to Associate Editor Kurt Kyser and to two reviewers, Andrew Campbell and Lui-Heung Chan, for their constructive comments. This research was supported, in part, by a National Science Foundation grant (EAR-9706469) to RJW and PAC. Paul </w:t>
      </w:r>
      <w:proofErr w:type="spellStart"/>
      <w:r w:rsidRPr="004C3110">
        <w:rPr>
          <w:rFonts w:ascii="Times New Roman" w:eastAsia="Times New Roman" w:hAnsi="Times New Roman" w:cs="Times New Roman"/>
          <w:sz w:val="24"/>
          <w:szCs w:val="24"/>
        </w:rPr>
        <w:t>Tomascak</w:t>
      </w:r>
      <w:proofErr w:type="spellEnd"/>
      <w:r w:rsidRPr="004C3110">
        <w:rPr>
          <w:rFonts w:ascii="Times New Roman" w:eastAsia="Times New Roman" w:hAnsi="Times New Roman" w:cs="Times New Roman"/>
          <w:sz w:val="24"/>
          <w:szCs w:val="24"/>
        </w:rPr>
        <w:t xml:space="preserve"> provided analytical guidance and assistance, including MC-ICP-MS analysis. Phil </w:t>
      </w:r>
      <w:proofErr w:type="spellStart"/>
      <w:r w:rsidRPr="004C3110">
        <w:rPr>
          <w:rFonts w:ascii="Times New Roman" w:eastAsia="Times New Roman" w:hAnsi="Times New Roman" w:cs="Times New Roman"/>
          <w:sz w:val="24"/>
          <w:szCs w:val="24"/>
        </w:rPr>
        <w:t>Piccoli</w:t>
      </w:r>
      <w:proofErr w:type="spellEnd"/>
      <w:r w:rsidRPr="004C3110">
        <w:rPr>
          <w:rFonts w:ascii="Times New Roman" w:eastAsia="Times New Roman" w:hAnsi="Times New Roman" w:cs="Times New Roman"/>
          <w:sz w:val="24"/>
          <w:szCs w:val="24"/>
        </w:rPr>
        <w:t xml:space="preserve"> provided analytical assistance, including electron microprobe analysis. Bob </w:t>
      </w:r>
      <w:proofErr w:type="spellStart"/>
      <w:r w:rsidRPr="004C3110">
        <w:rPr>
          <w:rFonts w:ascii="Times New Roman" w:eastAsia="Times New Roman" w:hAnsi="Times New Roman" w:cs="Times New Roman"/>
          <w:sz w:val="24"/>
          <w:szCs w:val="24"/>
        </w:rPr>
        <w:t>Vocke</w:t>
      </w:r>
      <w:proofErr w:type="spellEnd"/>
      <w:r w:rsidRPr="004C3110">
        <w:rPr>
          <w:rFonts w:ascii="Times New Roman" w:eastAsia="Times New Roman" w:hAnsi="Times New Roman" w:cs="Times New Roman"/>
          <w:sz w:val="24"/>
          <w:szCs w:val="24"/>
        </w:rPr>
        <w:t xml:space="preserve"> (National Institute of Standards and Technology) provided</w:t>
      </w:r>
    </w:p>
    <w:p w:rsidR="00DD1880" w:rsidRDefault="00DD1880"/>
    <w:sectPr w:rsidR="00DD1880">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3110"/>
    <w:rsid w:val="004C3110"/>
    <w:rsid w:val="00DD18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39D7B"/>
  <w15:chartTrackingRefBased/>
  <w15:docId w15:val="{1CA666F1-2F03-4B9F-AC94-86131148F0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23848444">
      <w:bodyDiv w:val="1"/>
      <w:marLeft w:val="0"/>
      <w:marRight w:val="0"/>
      <w:marTop w:val="0"/>
      <w:marBottom w:val="0"/>
      <w:divBdr>
        <w:top w:val="none" w:sz="0" w:space="0" w:color="auto"/>
        <w:left w:val="none" w:sz="0" w:space="0" w:color="auto"/>
        <w:bottom w:val="none" w:sz="0" w:space="0" w:color="auto"/>
        <w:right w:val="none" w:sz="0" w:space="0" w:color="auto"/>
      </w:divBdr>
      <w:divsChild>
        <w:div w:id="864367680">
          <w:marLeft w:val="0"/>
          <w:marRight w:val="0"/>
          <w:marTop w:val="0"/>
          <w:marBottom w:val="0"/>
          <w:divBdr>
            <w:top w:val="none" w:sz="0" w:space="0" w:color="auto"/>
            <w:left w:val="none" w:sz="0" w:space="0" w:color="auto"/>
            <w:bottom w:val="none" w:sz="0" w:space="0" w:color="auto"/>
            <w:right w:val="none" w:sz="0" w:space="0" w:color="auto"/>
          </w:divBdr>
          <w:divsChild>
            <w:div w:id="1604611204">
              <w:marLeft w:val="0"/>
              <w:marRight w:val="0"/>
              <w:marTop w:val="0"/>
              <w:marBottom w:val="0"/>
              <w:divBdr>
                <w:top w:val="none" w:sz="0" w:space="0" w:color="auto"/>
                <w:left w:val="none" w:sz="0" w:space="0" w:color="auto"/>
                <w:bottom w:val="none" w:sz="0" w:space="0" w:color="auto"/>
                <w:right w:val="none" w:sz="0" w:space="0" w:color="auto"/>
              </w:divBdr>
              <w:divsChild>
                <w:div w:id="1796093331">
                  <w:marLeft w:val="0"/>
                  <w:marRight w:val="0"/>
                  <w:marTop w:val="0"/>
                  <w:marBottom w:val="0"/>
                  <w:divBdr>
                    <w:top w:val="none" w:sz="0" w:space="0" w:color="auto"/>
                    <w:left w:val="none" w:sz="0" w:space="0" w:color="auto"/>
                    <w:bottom w:val="none" w:sz="0" w:space="0" w:color="auto"/>
                    <w:right w:val="none" w:sz="0" w:space="0" w:color="auto"/>
                  </w:divBdr>
                  <w:divsChild>
                    <w:div w:id="192487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669644">
          <w:marLeft w:val="0"/>
          <w:marRight w:val="0"/>
          <w:marTop w:val="0"/>
          <w:marBottom w:val="0"/>
          <w:divBdr>
            <w:top w:val="none" w:sz="0" w:space="0" w:color="auto"/>
            <w:left w:val="none" w:sz="0" w:space="0" w:color="auto"/>
            <w:bottom w:val="none" w:sz="0" w:space="0" w:color="auto"/>
            <w:right w:val="none" w:sz="0" w:space="0" w:color="auto"/>
          </w:divBdr>
          <w:divsChild>
            <w:div w:id="498347776">
              <w:marLeft w:val="0"/>
              <w:marRight w:val="0"/>
              <w:marTop w:val="0"/>
              <w:marBottom w:val="0"/>
              <w:divBdr>
                <w:top w:val="none" w:sz="0" w:space="0" w:color="auto"/>
                <w:left w:val="none" w:sz="0" w:space="0" w:color="auto"/>
                <w:bottom w:val="none" w:sz="0" w:space="0" w:color="auto"/>
                <w:right w:val="none" w:sz="0" w:space="0" w:color="auto"/>
              </w:divBdr>
              <w:divsChild>
                <w:div w:id="344750750">
                  <w:marLeft w:val="0"/>
                  <w:marRight w:val="0"/>
                  <w:marTop w:val="0"/>
                  <w:marBottom w:val="0"/>
                  <w:divBdr>
                    <w:top w:val="none" w:sz="0" w:space="0" w:color="auto"/>
                    <w:left w:val="none" w:sz="0" w:space="0" w:color="auto"/>
                    <w:bottom w:val="none" w:sz="0" w:space="0" w:color="auto"/>
                    <w:right w:val="none" w:sz="0" w:space="0" w:color="auto"/>
                  </w:divBdr>
                  <w:divsChild>
                    <w:div w:id="25921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087806">
          <w:marLeft w:val="0"/>
          <w:marRight w:val="0"/>
          <w:marTop w:val="0"/>
          <w:marBottom w:val="0"/>
          <w:divBdr>
            <w:top w:val="none" w:sz="0" w:space="0" w:color="auto"/>
            <w:left w:val="none" w:sz="0" w:space="0" w:color="auto"/>
            <w:bottom w:val="none" w:sz="0" w:space="0" w:color="auto"/>
            <w:right w:val="none" w:sz="0" w:space="0" w:color="auto"/>
          </w:divBdr>
          <w:divsChild>
            <w:div w:id="148791986">
              <w:marLeft w:val="0"/>
              <w:marRight w:val="0"/>
              <w:marTop w:val="0"/>
              <w:marBottom w:val="0"/>
              <w:divBdr>
                <w:top w:val="none" w:sz="0" w:space="0" w:color="auto"/>
                <w:left w:val="none" w:sz="0" w:space="0" w:color="auto"/>
                <w:bottom w:val="none" w:sz="0" w:space="0" w:color="auto"/>
                <w:right w:val="none" w:sz="0" w:space="0" w:color="auto"/>
              </w:divBdr>
            </w:div>
          </w:divsChild>
        </w:div>
        <w:div w:id="627055513">
          <w:marLeft w:val="0"/>
          <w:marRight w:val="0"/>
          <w:marTop w:val="0"/>
          <w:marBottom w:val="0"/>
          <w:divBdr>
            <w:top w:val="none" w:sz="0" w:space="0" w:color="auto"/>
            <w:left w:val="none" w:sz="0" w:space="0" w:color="auto"/>
            <w:bottom w:val="none" w:sz="0" w:space="0" w:color="auto"/>
            <w:right w:val="none" w:sz="0" w:space="0" w:color="auto"/>
          </w:divBdr>
          <w:divsChild>
            <w:div w:id="174144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isotopic-composi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muscovite" TargetMode="External"/><Relationship Id="rId5" Type="http://schemas.openxmlformats.org/officeDocument/2006/relationships/hyperlink" Target="https://www.sciencedirect.com/topics/earth-and-planetary-sciences/lithium-isotope" TargetMode="External"/><Relationship Id="rId4" Type="http://schemas.openxmlformats.org/officeDocument/2006/relationships/hyperlink" Target="https://doi.org/10.1016/j.gca.2005.02.009"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1222</Words>
  <Characters>6972</Characters>
  <Application>Microsoft Office Word</Application>
  <DocSecurity>0</DocSecurity>
  <Lines>58</Lines>
  <Paragraphs>16</Paragraphs>
  <ScaleCrop>false</ScaleCrop>
  <Company/>
  <LinksUpToDate>false</LinksUpToDate>
  <CharactersWithSpaces>8178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2023-11-18T08:02:00Z</dcterms:created>
  <dcterms:modified xsi:type="dcterms:W3CDTF">2023-11-18T08:03:00Z</dcterms:modified>
</cp:coreProperties>
</file>