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2C437B" w:rsidRPr="002C437B" w:rsidRDefault="002C437B" w:rsidP="002C437B">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2C437B">
        <w:rPr>
          <w:rFonts w:ascii="Times New Roman" w:eastAsia="Times New Roman" w:hAnsi="Times New Roman" w:cs="Times New Roman"/>
          <w:b/>
          <w:bCs/>
          <w:kern w:val="36"/>
          <w:sz w:val="48"/>
          <w:szCs w:val="48"/>
        </w:rPr>
        <w:t xml:space="preserve">Molecular dynamics simulation of the titration of </w:t>
      </w:r>
      <w:proofErr w:type="spellStart"/>
      <w:r w:rsidRPr="002C437B">
        <w:rPr>
          <w:rFonts w:ascii="Times New Roman" w:eastAsia="Times New Roman" w:hAnsi="Times New Roman" w:cs="Times New Roman"/>
          <w:b/>
          <w:bCs/>
          <w:kern w:val="36"/>
          <w:sz w:val="48"/>
          <w:szCs w:val="48"/>
        </w:rPr>
        <w:t>polyoxocations</w:t>
      </w:r>
      <w:proofErr w:type="spellEnd"/>
      <w:r w:rsidRPr="002C437B">
        <w:rPr>
          <w:rFonts w:ascii="Times New Roman" w:eastAsia="Times New Roman" w:hAnsi="Times New Roman" w:cs="Times New Roman"/>
          <w:b/>
          <w:bCs/>
          <w:kern w:val="36"/>
          <w:sz w:val="48"/>
          <w:szCs w:val="48"/>
        </w:rPr>
        <w:t xml:space="preserve"> in aqueous solution</w:t>
      </w:r>
    </w:p>
    <w:p w:rsidR="002C437B" w:rsidRPr="002C437B" w:rsidRDefault="002C437B" w:rsidP="002C437B">
      <w:pPr>
        <w:spacing w:after="0" w:line="240" w:lineRule="auto"/>
        <w:rPr>
          <w:rFonts w:ascii="Times New Roman" w:eastAsia="Times New Roman" w:hAnsi="Times New Roman" w:cs="Times New Roman"/>
          <w:sz w:val="24"/>
          <w:szCs w:val="24"/>
        </w:rPr>
      </w:pPr>
      <w:r w:rsidRPr="002C437B">
        <w:rPr>
          <w:rFonts w:ascii="Times New Roman" w:eastAsia="Times New Roman" w:hAnsi="Times New Roman" w:cs="Times New Roman"/>
          <w:sz w:val="24"/>
          <w:szCs w:val="24"/>
        </w:rPr>
        <w:t>Author links open overlay panel</w:t>
      </w:r>
    </w:p>
    <w:p w:rsidR="002C437B" w:rsidRPr="002C437B" w:rsidRDefault="002C437B" w:rsidP="002C437B">
      <w:pPr>
        <w:spacing w:after="0" w:line="240" w:lineRule="auto"/>
        <w:rPr>
          <w:rFonts w:ascii="Times New Roman" w:eastAsia="Times New Roman" w:hAnsi="Times New Roman" w:cs="Times New Roman"/>
          <w:sz w:val="24"/>
          <w:szCs w:val="24"/>
        </w:rPr>
      </w:pPr>
      <w:hyperlink r:id="rId4" w:tgtFrame="_blank" w:tooltip="Persistent link using digital object identifier" w:history="1">
        <w:r w:rsidRPr="002C437B">
          <w:rPr>
            <w:rFonts w:ascii="Times New Roman" w:eastAsia="Times New Roman" w:hAnsi="Times New Roman" w:cs="Times New Roman"/>
            <w:color w:val="0000FF"/>
            <w:sz w:val="24"/>
            <w:szCs w:val="24"/>
            <w:u w:val="single"/>
          </w:rPr>
          <w:t>https://doi.org/10.1016/j.gca.2005.05.007</w:t>
        </w:r>
      </w:hyperlink>
      <w:bookmarkStart w:id="0" w:name="_GoBack"/>
      <w:bookmarkEnd w:id="0"/>
      <w:r w:rsidRPr="002C437B">
        <w:rPr>
          <w:rFonts w:ascii="Times New Roman" w:eastAsia="Times New Roman" w:hAnsi="Times New Roman" w:cs="Times New Roman"/>
          <w:sz w:val="24"/>
          <w:szCs w:val="24"/>
        </w:rPr>
        <w:t xml:space="preserve"> </w:t>
      </w:r>
    </w:p>
    <w:p w:rsidR="002C437B" w:rsidRPr="002C437B" w:rsidRDefault="002C437B" w:rsidP="002C437B">
      <w:pPr>
        <w:spacing w:before="100" w:beforeAutospacing="1" w:after="100" w:afterAutospacing="1" w:line="240" w:lineRule="auto"/>
        <w:outlineLvl w:val="1"/>
        <w:rPr>
          <w:rFonts w:ascii="Times New Roman" w:eastAsia="Times New Roman" w:hAnsi="Times New Roman" w:cs="Times New Roman"/>
          <w:b/>
          <w:bCs/>
          <w:sz w:val="36"/>
          <w:szCs w:val="36"/>
        </w:rPr>
      </w:pPr>
      <w:r w:rsidRPr="002C437B">
        <w:rPr>
          <w:rFonts w:ascii="Times New Roman" w:eastAsia="Times New Roman" w:hAnsi="Times New Roman" w:cs="Times New Roman"/>
          <w:b/>
          <w:bCs/>
          <w:sz w:val="36"/>
          <w:szCs w:val="36"/>
        </w:rPr>
        <w:t>Abstract</w:t>
      </w:r>
    </w:p>
    <w:p w:rsidR="002C437B" w:rsidRPr="002C437B" w:rsidRDefault="002C437B" w:rsidP="002C437B">
      <w:pPr>
        <w:spacing w:before="100" w:beforeAutospacing="1" w:after="100" w:afterAutospacing="1" w:line="240" w:lineRule="auto"/>
        <w:rPr>
          <w:rFonts w:ascii="Times New Roman" w:eastAsia="Times New Roman" w:hAnsi="Times New Roman" w:cs="Times New Roman"/>
          <w:sz w:val="24"/>
          <w:szCs w:val="24"/>
        </w:rPr>
      </w:pPr>
      <w:r w:rsidRPr="002C437B">
        <w:rPr>
          <w:rFonts w:ascii="Times New Roman" w:eastAsia="Times New Roman" w:hAnsi="Times New Roman" w:cs="Times New Roman"/>
          <w:sz w:val="24"/>
          <w:szCs w:val="24"/>
        </w:rPr>
        <w:t>The aqueous complex ion Al</w:t>
      </w:r>
      <w:r w:rsidRPr="002C437B">
        <w:rPr>
          <w:rFonts w:ascii="Times New Roman" w:eastAsia="Times New Roman" w:hAnsi="Times New Roman" w:cs="Times New Roman"/>
          <w:sz w:val="24"/>
          <w:szCs w:val="24"/>
          <w:vertAlign w:val="subscript"/>
        </w:rPr>
        <w:t>30</w:t>
      </w:r>
      <w:r w:rsidRPr="002C437B">
        <w:rPr>
          <w:rFonts w:ascii="Times New Roman" w:eastAsia="Times New Roman" w:hAnsi="Times New Roman" w:cs="Times New Roman"/>
          <w:sz w:val="24"/>
          <w:szCs w:val="24"/>
        </w:rPr>
        <w:t>O</w:t>
      </w:r>
      <w:r w:rsidRPr="002C437B">
        <w:rPr>
          <w:rFonts w:ascii="Times New Roman" w:eastAsia="Times New Roman" w:hAnsi="Times New Roman" w:cs="Times New Roman"/>
          <w:sz w:val="24"/>
          <w:szCs w:val="24"/>
          <w:vertAlign w:val="subscript"/>
        </w:rPr>
        <w:t>8</w:t>
      </w:r>
      <w:r w:rsidRPr="002C437B">
        <w:rPr>
          <w:rFonts w:ascii="Times New Roman" w:eastAsia="Times New Roman" w:hAnsi="Times New Roman" w:cs="Times New Roman"/>
          <w:sz w:val="24"/>
          <w:szCs w:val="24"/>
        </w:rPr>
        <w:t>(OH)</w:t>
      </w:r>
      <w:r w:rsidRPr="002C437B">
        <w:rPr>
          <w:rFonts w:ascii="Times New Roman" w:eastAsia="Times New Roman" w:hAnsi="Times New Roman" w:cs="Times New Roman"/>
          <w:sz w:val="24"/>
          <w:szCs w:val="24"/>
          <w:vertAlign w:val="subscript"/>
        </w:rPr>
        <w:t>56</w:t>
      </w:r>
      <w:r w:rsidRPr="002C437B">
        <w:rPr>
          <w:rFonts w:ascii="Times New Roman" w:eastAsia="Times New Roman" w:hAnsi="Times New Roman" w:cs="Times New Roman"/>
          <w:sz w:val="24"/>
          <w:szCs w:val="24"/>
        </w:rPr>
        <w:t>(H</w:t>
      </w:r>
      <w:r w:rsidRPr="002C437B">
        <w:rPr>
          <w:rFonts w:ascii="Times New Roman" w:eastAsia="Times New Roman" w:hAnsi="Times New Roman" w:cs="Times New Roman"/>
          <w:sz w:val="24"/>
          <w:szCs w:val="24"/>
          <w:vertAlign w:val="subscript"/>
        </w:rPr>
        <w:t>2</w:t>
      </w:r>
      <w:r w:rsidRPr="002C437B">
        <w:rPr>
          <w:rFonts w:ascii="Times New Roman" w:eastAsia="Times New Roman" w:hAnsi="Times New Roman" w:cs="Times New Roman"/>
          <w:sz w:val="24"/>
          <w:szCs w:val="24"/>
        </w:rPr>
        <w:t>O)</w:t>
      </w:r>
      <w:r w:rsidRPr="002C437B">
        <w:rPr>
          <w:rFonts w:ascii="Times New Roman" w:eastAsia="Times New Roman" w:hAnsi="Times New Roman" w:cs="Times New Roman"/>
          <w:sz w:val="24"/>
          <w:szCs w:val="24"/>
          <w:vertAlign w:val="subscript"/>
        </w:rPr>
        <w:t>26</w:t>
      </w:r>
      <w:r w:rsidRPr="002C437B">
        <w:rPr>
          <w:rFonts w:ascii="Times New Roman" w:eastAsia="Times New Roman" w:hAnsi="Times New Roman" w:cs="Times New Roman"/>
          <w:sz w:val="24"/>
          <w:szCs w:val="24"/>
          <w:vertAlign w:val="superscript"/>
        </w:rPr>
        <w:t>18+</w:t>
      </w:r>
      <w:r w:rsidRPr="002C437B">
        <w:rPr>
          <w:rFonts w:ascii="Times New Roman" w:eastAsia="Times New Roman" w:hAnsi="Times New Roman" w:cs="Times New Roman"/>
          <w:sz w:val="24"/>
          <w:szCs w:val="24"/>
        </w:rPr>
        <w:t xml:space="preserve"> (Al</w:t>
      </w:r>
      <w:r w:rsidRPr="002C437B">
        <w:rPr>
          <w:rFonts w:ascii="Times New Roman" w:eastAsia="Times New Roman" w:hAnsi="Times New Roman" w:cs="Times New Roman"/>
          <w:sz w:val="24"/>
          <w:szCs w:val="24"/>
          <w:vertAlign w:val="subscript"/>
        </w:rPr>
        <w:t>30</w:t>
      </w:r>
      <w:r w:rsidRPr="002C437B">
        <w:rPr>
          <w:rFonts w:ascii="Times New Roman" w:eastAsia="Times New Roman" w:hAnsi="Times New Roman" w:cs="Times New Roman"/>
          <w:sz w:val="24"/>
          <w:szCs w:val="24"/>
        </w:rPr>
        <w:t xml:space="preserve">) has a variety of bridging and terminal amphoteric surface functional groups which deprotonate over a </w:t>
      </w:r>
      <w:r w:rsidRPr="002C437B">
        <w:rPr>
          <w:rFonts w:ascii="Times New Roman" w:eastAsia="Times New Roman" w:hAnsi="Times New Roman" w:cs="Times New Roman"/>
          <w:i/>
          <w:iCs/>
          <w:sz w:val="24"/>
          <w:szCs w:val="24"/>
        </w:rPr>
        <w:t>p</w:t>
      </w:r>
      <w:r w:rsidRPr="002C437B">
        <w:rPr>
          <w:rFonts w:ascii="Times New Roman" w:eastAsia="Times New Roman" w:hAnsi="Times New Roman" w:cs="Times New Roman"/>
          <w:sz w:val="24"/>
          <w:szCs w:val="24"/>
        </w:rPr>
        <w:t xml:space="preserve">H range of 4–7. Their relative degree of protonation is calculated here from a series of molecular dynamics simulations in what appear to be the first molecular dynamics simulations of an </w:t>
      </w:r>
      <w:proofErr w:type="spellStart"/>
      <w:r w:rsidRPr="002C437B">
        <w:rPr>
          <w:rFonts w:ascii="Times New Roman" w:eastAsia="Times New Roman" w:hAnsi="Times New Roman" w:cs="Times New Roman"/>
          <w:sz w:val="24"/>
          <w:szCs w:val="24"/>
        </w:rPr>
        <w:t>acidometric</w:t>
      </w:r>
      <w:proofErr w:type="spellEnd"/>
      <w:r w:rsidRPr="002C437B">
        <w:rPr>
          <w:rFonts w:ascii="Times New Roman" w:eastAsia="Times New Roman" w:hAnsi="Times New Roman" w:cs="Times New Roman"/>
          <w:sz w:val="24"/>
          <w:szCs w:val="24"/>
        </w:rPr>
        <w:t xml:space="preserve"> titration. In these simulations, a model </w:t>
      </w:r>
      <w:r w:rsidRPr="002C437B">
        <w:rPr>
          <w:rFonts w:ascii="Times New Roman" w:eastAsia="Times New Roman" w:hAnsi="Times New Roman" w:cs="Times New Roman"/>
          <w:i/>
          <w:iCs/>
          <w:sz w:val="24"/>
          <w:szCs w:val="24"/>
        </w:rPr>
        <w:t>M</w:t>
      </w:r>
      <w:r w:rsidRPr="002C437B">
        <w:rPr>
          <w:rFonts w:ascii="Times New Roman" w:eastAsia="Times New Roman" w:hAnsi="Times New Roman" w:cs="Times New Roman"/>
          <w:sz w:val="24"/>
          <w:szCs w:val="24"/>
          <w:vertAlign w:val="subscript"/>
        </w:rPr>
        <w:t>30</w:t>
      </w:r>
      <w:r w:rsidRPr="002C437B">
        <w:rPr>
          <w:rFonts w:ascii="Times New Roman" w:eastAsia="Times New Roman" w:hAnsi="Times New Roman" w:cs="Times New Roman"/>
          <w:sz w:val="24"/>
          <w:szCs w:val="24"/>
        </w:rPr>
        <w:t>O</w:t>
      </w:r>
      <w:r w:rsidRPr="002C437B">
        <w:rPr>
          <w:rFonts w:ascii="Times New Roman" w:eastAsia="Times New Roman" w:hAnsi="Times New Roman" w:cs="Times New Roman"/>
          <w:sz w:val="24"/>
          <w:szCs w:val="24"/>
          <w:vertAlign w:val="subscript"/>
        </w:rPr>
        <w:t>8</w:t>
      </w:r>
      <w:r w:rsidRPr="002C437B">
        <w:rPr>
          <w:rFonts w:ascii="Times New Roman" w:eastAsia="Times New Roman" w:hAnsi="Times New Roman" w:cs="Times New Roman"/>
          <w:sz w:val="24"/>
          <w:szCs w:val="24"/>
        </w:rPr>
        <w:t>(OH)</w:t>
      </w:r>
      <w:r w:rsidRPr="002C437B">
        <w:rPr>
          <w:rFonts w:ascii="Times New Roman" w:eastAsia="Times New Roman" w:hAnsi="Times New Roman" w:cs="Times New Roman"/>
          <w:sz w:val="24"/>
          <w:szCs w:val="24"/>
          <w:vertAlign w:val="subscript"/>
        </w:rPr>
        <w:t>56</w:t>
      </w:r>
      <w:r w:rsidRPr="002C437B">
        <w:rPr>
          <w:rFonts w:ascii="Times New Roman" w:eastAsia="Times New Roman" w:hAnsi="Times New Roman" w:cs="Times New Roman"/>
          <w:sz w:val="24"/>
          <w:szCs w:val="24"/>
        </w:rPr>
        <w:t>(H</w:t>
      </w:r>
      <w:r w:rsidRPr="002C437B">
        <w:rPr>
          <w:rFonts w:ascii="Times New Roman" w:eastAsia="Times New Roman" w:hAnsi="Times New Roman" w:cs="Times New Roman"/>
          <w:sz w:val="24"/>
          <w:szCs w:val="24"/>
          <w:vertAlign w:val="subscript"/>
        </w:rPr>
        <w:t>2</w:t>
      </w:r>
      <w:r w:rsidRPr="002C437B">
        <w:rPr>
          <w:rFonts w:ascii="Times New Roman" w:eastAsia="Times New Roman" w:hAnsi="Times New Roman" w:cs="Times New Roman"/>
          <w:sz w:val="24"/>
          <w:szCs w:val="24"/>
        </w:rPr>
        <w:t>O)</w:t>
      </w:r>
      <w:r w:rsidRPr="002C437B">
        <w:rPr>
          <w:rFonts w:ascii="Times New Roman" w:eastAsia="Times New Roman" w:hAnsi="Times New Roman" w:cs="Times New Roman"/>
          <w:sz w:val="24"/>
          <w:szCs w:val="24"/>
          <w:vertAlign w:val="subscript"/>
        </w:rPr>
        <w:t>26</w:t>
      </w:r>
      <w:r w:rsidRPr="002C437B">
        <w:rPr>
          <w:rFonts w:ascii="Times New Roman" w:eastAsia="Times New Roman" w:hAnsi="Times New Roman" w:cs="Times New Roman"/>
          <w:sz w:val="24"/>
          <w:szCs w:val="24"/>
          <w:vertAlign w:val="superscript"/>
        </w:rPr>
        <w:t>18+</w:t>
      </w:r>
      <w:r w:rsidRPr="002C437B">
        <w:rPr>
          <w:rFonts w:ascii="Times New Roman" w:eastAsia="Times New Roman" w:hAnsi="Times New Roman" w:cs="Times New Roman"/>
          <w:sz w:val="24"/>
          <w:szCs w:val="24"/>
        </w:rPr>
        <w:t xml:space="preserve"> ion is embedded in aqueous solution and titrated with hydroxide ions in the presence of a charge-compensating background of </w:t>
      </w:r>
      <w:hyperlink r:id="rId5" w:tooltip="Learn more about perchlorate from ScienceDirect's AI-generated Topic Pages" w:history="1">
        <w:r w:rsidRPr="002C437B">
          <w:rPr>
            <w:rFonts w:ascii="Times New Roman" w:eastAsia="Times New Roman" w:hAnsi="Times New Roman" w:cs="Times New Roman"/>
            <w:color w:val="0000FF"/>
            <w:sz w:val="24"/>
            <w:szCs w:val="24"/>
            <w:u w:val="single"/>
          </w:rPr>
          <w:t>perchlorate</w:t>
        </w:r>
      </w:hyperlink>
      <w:r w:rsidRPr="002C437B">
        <w:rPr>
          <w:rFonts w:ascii="Times New Roman" w:eastAsia="Times New Roman" w:hAnsi="Times New Roman" w:cs="Times New Roman"/>
          <w:sz w:val="24"/>
          <w:szCs w:val="24"/>
        </w:rPr>
        <w:t xml:space="preserve"> ions. Comparison with titration of a model </w:t>
      </w:r>
      <w:r w:rsidRPr="002C437B">
        <w:rPr>
          <w:rFonts w:ascii="Times New Roman" w:eastAsia="Times New Roman" w:hAnsi="Times New Roman" w:cs="Times New Roman"/>
          <w:i/>
          <w:iCs/>
          <w:sz w:val="24"/>
          <w:szCs w:val="24"/>
        </w:rPr>
        <w:t>M</w:t>
      </w:r>
      <w:r w:rsidRPr="002C437B">
        <w:rPr>
          <w:rFonts w:ascii="Times New Roman" w:eastAsia="Times New Roman" w:hAnsi="Times New Roman" w:cs="Times New Roman"/>
          <w:sz w:val="24"/>
          <w:szCs w:val="24"/>
          <w:vertAlign w:val="subscript"/>
        </w:rPr>
        <w:t>13</w:t>
      </w:r>
      <w:r w:rsidRPr="002C437B">
        <w:rPr>
          <w:rFonts w:ascii="Times New Roman" w:eastAsia="Times New Roman" w:hAnsi="Times New Roman" w:cs="Times New Roman"/>
          <w:sz w:val="24"/>
          <w:szCs w:val="24"/>
        </w:rPr>
        <w:t>O</w:t>
      </w:r>
      <w:r w:rsidRPr="002C437B">
        <w:rPr>
          <w:rFonts w:ascii="Times New Roman" w:eastAsia="Times New Roman" w:hAnsi="Times New Roman" w:cs="Times New Roman"/>
          <w:sz w:val="24"/>
          <w:szCs w:val="24"/>
          <w:vertAlign w:val="subscript"/>
        </w:rPr>
        <w:t>4</w:t>
      </w:r>
      <w:r w:rsidRPr="002C437B">
        <w:rPr>
          <w:rFonts w:ascii="Times New Roman" w:eastAsia="Times New Roman" w:hAnsi="Times New Roman" w:cs="Times New Roman"/>
          <w:sz w:val="24"/>
          <w:szCs w:val="24"/>
        </w:rPr>
        <w:t>(OH)</w:t>
      </w:r>
      <w:r w:rsidRPr="002C437B">
        <w:rPr>
          <w:rFonts w:ascii="Times New Roman" w:eastAsia="Times New Roman" w:hAnsi="Times New Roman" w:cs="Times New Roman"/>
          <w:sz w:val="24"/>
          <w:szCs w:val="24"/>
          <w:vertAlign w:val="subscript"/>
        </w:rPr>
        <w:t>24</w:t>
      </w:r>
      <w:r w:rsidRPr="002C437B">
        <w:rPr>
          <w:rFonts w:ascii="Times New Roman" w:eastAsia="Times New Roman" w:hAnsi="Times New Roman" w:cs="Times New Roman"/>
          <w:sz w:val="24"/>
          <w:szCs w:val="24"/>
        </w:rPr>
        <w:t>(H</w:t>
      </w:r>
      <w:r w:rsidRPr="002C437B">
        <w:rPr>
          <w:rFonts w:ascii="Times New Roman" w:eastAsia="Times New Roman" w:hAnsi="Times New Roman" w:cs="Times New Roman"/>
          <w:sz w:val="24"/>
          <w:szCs w:val="24"/>
          <w:vertAlign w:val="subscript"/>
        </w:rPr>
        <w:t>2</w:t>
      </w:r>
      <w:r w:rsidRPr="002C437B">
        <w:rPr>
          <w:rFonts w:ascii="Times New Roman" w:eastAsia="Times New Roman" w:hAnsi="Times New Roman" w:cs="Times New Roman"/>
          <w:sz w:val="24"/>
          <w:szCs w:val="24"/>
        </w:rPr>
        <w:t>O)</w:t>
      </w:r>
      <w:r w:rsidRPr="002C437B">
        <w:rPr>
          <w:rFonts w:ascii="Times New Roman" w:eastAsia="Times New Roman" w:hAnsi="Times New Roman" w:cs="Times New Roman"/>
          <w:sz w:val="24"/>
          <w:szCs w:val="24"/>
          <w:vertAlign w:val="subscript"/>
        </w:rPr>
        <w:t>12</w:t>
      </w:r>
      <w:r w:rsidRPr="002C437B">
        <w:rPr>
          <w:rFonts w:ascii="Times New Roman" w:eastAsia="Times New Roman" w:hAnsi="Times New Roman" w:cs="Times New Roman"/>
          <w:sz w:val="24"/>
          <w:szCs w:val="24"/>
          <w:vertAlign w:val="superscript"/>
        </w:rPr>
        <w:t>7+</w:t>
      </w:r>
      <w:r w:rsidRPr="002C437B">
        <w:rPr>
          <w:rFonts w:ascii="Times New Roman" w:eastAsia="Times New Roman" w:hAnsi="Times New Roman" w:cs="Times New Roman"/>
          <w:sz w:val="24"/>
          <w:szCs w:val="24"/>
        </w:rPr>
        <w:t xml:space="preserve"> reveals that the </w:t>
      </w:r>
      <w:r w:rsidRPr="002C437B">
        <w:rPr>
          <w:rFonts w:ascii="Times New Roman" w:eastAsia="Times New Roman" w:hAnsi="Times New Roman" w:cs="Times New Roman"/>
          <w:i/>
          <w:iCs/>
          <w:sz w:val="24"/>
          <w:szCs w:val="24"/>
        </w:rPr>
        <w:t>M</w:t>
      </w:r>
      <w:r w:rsidRPr="002C437B">
        <w:rPr>
          <w:rFonts w:ascii="Times New Roman" w:eastAsia="Times New Roman" w:hAnsi="Times New Roman" w:cs="Times New Roman"/>
          <w:sz w:val="24"/>
          <w:szCs w:val="24"/>
          <w:vertAlign w:val="subscript"/>
        </w:rPr>
        <w:t>30</w:t>
      </w:r>
      <w:r w:rsidRPr="002C437B">
        <w:rPr>
          <w:rFonts w:ascii="Times New Roman" w:eastAsia="Times New Roman" w:hAnsi="Times New Roman" w:cs="Times New Roman"/>
          <w:sz w:val="24"/>
          <w:szCs w:val="24"/>
        </w:rPr>
        <w:t xml:space="preserve"> ion is more acidic than the </w:t>
      </w:r>
      <w:r w:rsidRPr="002C437B">
        <w:rPr>
          <w:rFonts w:ascii="Times New Roman" w:eastAsia="Times New Roman" w:hAnsi="Times New Roman" w:cs="Times New Roman"/>
          <w:i/>
          <w:iCs/>
          <w:sz w:val="24"/>
          <w:szCs w:val="24"/>
        </w:rPr>
        <w:t>M</w:t>
      </w:r>
      <w:r w:rsidRPr="002C437B">
        <w:rPr>
          <w:rFonts w:ascii="Times New Roman" w:eastAsia="Times New Roman" w:hAnsi="Times New Roman" w:cs="Times New Roman"/>
          <w:sz w:val="24"/>
          <w:szCs w:val="24"/>
          <w:vertAlign w:val="subscript"/>
        </w:rPr>
        <w:t>13</w:t>
      </w:r>
      <w:r w:rsidRPr="002C437B">
        <w:rPr>
          <w:rFonts w:ascii="Times New Roman" w:eastAsia="Times New Roman" w:hAnsi="Times New Roman" w:cs="Times New Roman"/>
          <w:sz w:val="24"/>
          <w:szCs w:val="24"/>
        </w:rPr>
        <w:t xml:space="preserve"> ion due to the presence of acidic ηH</w:t>
      </w:r>
      <w:r w:rsidRPr="002C437B">
        <w:rPr>
          <w:rFonts w:ascii="Times New Roman" w:eastAsia="Times New Roman" w:hAnsi="Times New Roman" w:cs="Times New Roman"/>
          <w:sz w:val="24"/>
          <w:szCs w:val="24"/>
          <w:vertAlign w:val="subscript"/>
        </w:rPr>
        <w:t>2</w:t>
      </w:r>
      <w:r w:rsidRPr="002C437B">
        <w:rPr>
          <w:rFonts w:ascii="Times New Roman" w:eastAsia="Times New Roman" w:hAnsi="Times New Roman" w:cs="Times New Roman"/>
          <w:sz w:val="24"/>
          <w:szCs w:val="24"/>
        </w:rPr>
        <w:t xml:space="preserve">O functional groups. The higher acidities of the functional groups on the </w:t>
      </w:r>
      <w:r w:rsidRPr="002C437B">
        <w:rPr>
          <w:rFonts w:ascii="Times New Roman" w:eastAsia="Times New Roman" w:hAnsi="Times New Roman" w:cs="Times New Roman"/>
          <w:i/>
          <w:iCs/>
          <w:sz w:val="24"/>
          <w:szCs w:val="24"/>
        </w:rPr>
        <w:t>M</w:t>
      </w:r>
      <w:r w:rsidRPr="002C437B">
        <w:rPr>
          <w:rFonts w:ascii="Times New Roman" w:eastAsia="Times New Roman" w:hAnsi="Times New Roman" w:cs="Times New Roman"/>
          <w:sz w:val="24"/>
          <w:szCs w:val="24"/>
          <w:vertAlign w:val="subscript"/>
        </w:rPr>
        <w:t>30</w:t>
      </w:r>
      <w:r w:rsidRPr="002C437B">
        <w:rPr>
          <w:rFonts w:ascii="Times New Roman" w:eastAsia="Times New Roman" w:hAnsi="Times New Roman" w:cs="Times New Roman"/>
          <w:sz w:val="24"/>
          <w:szCs w:val="24"/>
        </w:rPr>
        <w:t xml:space="preserve"> ion appear to result from enhanced hydration. Metal–oxygen bond lengths are calculated for the ion in solution, an isolated ion in the gas phase, and in its crystalline hydrate sulfate salt. Gas-phase and crystalline bond lengths do not correlate well with those calculated in solution. The acidities do not relate in any simple way to the number of metals coordinating the surface functional group or the </w:t>
      </w:r>
      <w:r w:rsidRPr="002C437B">
        <w:rPr>
          <w:rFonts w:ascii="Times New Roman" w:eastAsia="Times New Roman" w:hAnsi="Times New Roman" w:cs="Times New Roman"/>
          <w:i/>
          <w:iCs/>
          <w:sz w:val="24"/>
          <w:szCs w:val="24"/>
        </w:rPr>
        <w:t>M</w:t>
      </w:r>
      <w:r w:rsidRPr="002C437B">
        <w:rPr>
          <w:rFonts w:ascii="Times New Roman" w:eastAsia="Times New Roman" w:hAnsi="Times New Roman" w:cs="Times New Roman"/>
          <w:sz w:val="24"/>
          <w:szCs w:val="24"/>
        </w:rPr>
        <w:t>-O bond length. Moreover, the calculated acidity in solution does not correlate with proton affinities calculated for the isolated ion in the absence of solvent. It is concluded that the search for simple indicators of structure–reactivity relationships at the level of individual reactive sites faces major limitations, unless specific information on the hydration states of the functional groups is available.</w:t>
      </w:r>
    </w:p>
    <w:p w:rsidR="002C437B" w:rsidRPr="002C437B" w:rsidRDefault="002C437B" w:rsidP="002C437B">
      <w:pPr>
        <w:spacing w:before="100" w:beforeAutospacing="1" w:after="100" w:afterAutospacing="1" w:line="240" w:lineRule="auto"/>
        <w:outlineLvl w:val="1"/>
        <w:rPr>
          <w:rFonts w:ascii="Times New Roman" w:eastAsia="Times New Roman" w:hAnsi="Times New Roman" w:cs="Times New Roman"/>
          <w:b/>
          <w:bCs/>
          <w:sz w:val="36"/>
          <w:szCs w:val="36"/>
        </w:rPr>
      </w:pPr>
      <w:r w:rsidRPr="002C437B">
        <w:rPr>
          <w:rFonts w:ascii="Times New Roman" w:eastAsia="Times New Roman" w:hAnsi="Times New Roman" w:cs="Times New Roman"/>
          <w:b/>
          <w:bCs/>
          <w:sz w:val="36"/>
          <w:szCs w:val="36"/>
        </w:rPr>
        <w:t>Introduction</w:t>
      </w:r>
    </w:p>
    <w:p w:rsidR="002C437B" w:rsidRPr="002C437B" w:rsidRDefault="002C437B" w:rsidP="002C437B">
      <w:pPr>
        <w:spacing w:before="100" w:beforeAutospacing="1" w:after="100" w:afterAutospacing="1" w:line="240" w:lineRule="auto"/>
        <w:rPr>
          <w:rFonts w:ascii="Times New Roman" w:eastAsia="Times New Roman" w:hAnsi="Times New Roman" w:cs="Times New Roman"/>
          <w:sz w:val="24"/>
          <w:szCs w:val="24"/>
        </w:rPr>
      </w:pPr>
      <w:r w:rsidRPr="002C437B">
        <w:rPr>
          <w:rFonts w:ascii="Times New Roman" w:eastAsia="Times New Roman" w:hAnsi="Times New Roman" w:cs="Times New Roman"/>
          <w:sz w:val="24"/>
          <w:szCs w:val="24"/>
        </w:rPr>
        <w:t>Determination and prediction of site reactivity at the functional group level is one of the major aims of interfacial geochemistry. It is widely recognized that single-site representations of reactivity rest on a highly complex underlying interfacial speciation (</w:t>
      </w:r>
      <w:proofErr w:type="spellStart"/>
      <w:r w:rsidRPr="002C437B">
        <w:rPr>
          <w:rFonts w:ascii="Times New Roman" w:eastAsia="Times New Roman" w:hAnsi="Times New Roman" w:cs="Times New Roman"/>
          <w:sz w:val="24"/>
          <w:szCs w:val="24"/>
        </w:rPr>
        <w:t>Sposito</w:t>
      </w:r>
      <w:proofErr w:type="spellEnd"/>
      <w:r w:rsidRPr="002C437B">
        <w:rPr>
          <w:rFonts w:ascii="Times New Roman" w:eastAsia="Times New Roman" w:hAnsi="Times New Roman" w:cs="Times New Roman"/>
          <w:sz w:val="24"/>
          <w:szCs w:val="24"/>
        </w:rPr>
        <w:t xml:space="preserve">, 1990). While single-site approaches have proven very useful in a predictive sense (Parks and </w:t>
      </w:r>
      <w:proofErr w:type="spellStart"/>
      <w:r w:rsidRPr="002C437B">
        <w:rPr>
          <w:rFonts w:ascii="Times New Roman" w:eastAsia="Times New Roman" w:hAnsi="Times New Roman" w:cs="Times New Roman"/>
          <w:sz w:val="24"/>
          <w:szCs w:val="24"/>
        </w:rPr>
        <w:t>deBruyn</w:t>
      </w:r>
      <w:proofErr w:type="spellEnd"/>
      <w:r w:rsidRPr="002C437B">
        <w:rPr>
          <w:rFonts w:ascii="Times New Roman" w:eastAsia="Times New Roman" w:hAnsi="Times New Roman" w:cs="Times New Roman"/>
          <w:sz w:val="24"/>
          <w:szCs w:val="24"/>
        </w:rPr>
        <w:t xml:space="preserve"> 1962, </w:t>
      </w:r>
      <w:proofErr w:type="spellStart"/>
      <w:r w:rsidRPr="002C437B">
        <w:rPr>
          <w:rFonts w:ascii="Times New Roman" w:eastAsia="Times New Roman" w:hAnsi="Times New Roman" w:cs="Times New Roman"/>
          <w:sz w:val="24"/>
          <w:szCs w:val="24"/>
        </w:rPr>
        <w:t>Sverjensky</w:t>
      </w:r>
      <w:proofErr w:type="spellEnd"/>
      <w:r w:rsidRPr="002C437B">
        <w:rPr>
          <w:rFonts w:ascii="Times New Roman" w:eastAsia="Times New Roman" w:hAnsi="Times New Roman" w:cs="Times New Roman"/>
          <w:sz w:val="24"/>
          <w:szCs w:val="24"/>
        </w:rPr>
        <w:t xml:space="preserve"> and </w:t>
      </w:r>
      <w:proofErr w:type="spellStart"/>
      <w:r w:rsidRPr="002C437B">
        <w:rPr>
          <w:rFonts w:ascii="Times New Roman" w:eastAsia="Times New Roman" w:hAnsi="Times New Roman" w:cs="Times New Roman"/>
          <w:sz w:val="24"/>
          <w:szCs w:val="24"/>
        </w:rPr>
        <w:t>Sahai</w:t>
      </w:r>
      <w:proofErr w:type="spellEnd"/>
      <w:r w:rsidRPr="002C437B">
        <w:rPr>
          <w:rFonts w:ascii="Times New Roman" w:eastAsia="Times New Roman" w:hAnsi="Times New Roman" w:cs="Times New Roman"/>
          <w:sz w:val="24"/>
          <w:szCs w:val="24"/>
        </w:rPr>
        <w:t xml:space="preserve"> 1996), much effort has been directed towards a more fundamental understanding of reactivity based on specific knowledge of the influence of specific structural environments (</w:t>
      </w:r>
      <w:proofErr w:type="spellStart"/>
      <w:r w:rsidRPr="002C437B">
        <w:rPr>
          <w:rFonts w:ascii="Times New Roman" w:eastAsia="Times New Roman" w:hAnsi="Times New Roman" w:cs="Times New Roman"/>
          <w:sz w:val="24"/>
          <w:szCs w:val="24"/>
        </w:rPr>
        <w:t>Hiemstra</w:t>
      </w:r>
      <w:proofErr w:type="spellEnd"/>
      <w:r w:rsidRPr="002C437B">
        <w:rPr>
          <w:rFonts w:ascii="Times New Roman" w:eastAsia="Times New Roman" w:hAnsi="Times New Roman" w:cs="Times New Roman"/>
          <w:sz w:val="24"/>
          <w:szCs w:val="24"/>
        </w:rPr>
        <w:t xml:space="preserve"> et al 1989, </w:t>
      </w:r>
      <w:proofErr w:type="spellStart"/>
      <w:r w:rsidRPr="002C437B">
        <w:rPr>
          <w:rFonts w:ascii="Times New Roman" w:eastAsia="Times New Roman" w:hAnsi="Times New Roman" w:cs="Times New Roman"/>
          <w:sz w:val="24"/>
          <w:szCs w:val="24"/>
        </w:rPr>
        <w:t>Machesky</w:t>
      </w:r>
      <w:proofErr w:type="spellEnd"/>
      <w:r w:rsidRPr="002C437B">
        <w:rPr>
          <w:rFonts w:ascii="Times New Roman" w:eastAsia="Times New Roman" w:hAnsi="Times New Roman" w:cs="Times New Roman"/>
          <w:sz w:val="24"/>
          <w:szCs w:val="24"/>
        </w:rPr>
        <w:t xml:space="preserve"> et al 2001, </w:t>
      </w:r>
      <w:proofErr w:type="spellStart"/>
      <w:r w:rsidRPr="002C437B">
        <w:rPr>
          <w:rFonts w:ascii="Times New Roman" w:eastAsia="Times New Roman" w:hAnsi="Times New Roman" w:cs="Times New Roman"/>
          <w:sz w:val="24"/>
          <w:szCs w:val="24"/>
        </w:rPr>
        <w:t>Boily</w:t>
      </w:r>
      <w:proofErr w:type="spellEnd"/>
      <w:r w:rsidRPr="002C437B">
        <w:rPr>
          <w:rFonts w:ascii="Times New Roman" w:eastAsia="Times New Roman" w:hAnsi="Times New Roman" w:cs="Times New Roman"/>
          <w:sz w:val="24"/>
          <w:szCs w:val="24"/>
        </w:rPr>
        <w:t xml:space="preserve"> 2003, </w:t>
      </w:r>
      <w:proofErr w:type="spellStart"/>
      <w:r w:rsidRPr="002C437B">
        <w:rPr>
          <w:rFonts w:ascii="Times New Roman" w:eastAsia="Times New Roman" w:hAnsi="Times New Roman" w:cs="Times New Roman"/>
          <w:sz w:val="24"/>
          <w:szCs w:val="24"/>
        </w:rPr>
        <w:t>Bickmore</w:t>
      </w:r>
      <w:proofErr w:type="spellEnd"/>
      <w:r w:rsidRPr="002C437B">
        <w:rPr>
          <w:rFonts w:ascii="Times New Roman" w:eastAsia="Times New Roman" w:hAnsi="Times New Roman" w:cs="Times New Roman"/>
          <w:sz w:val="24"/>
          <w:szCs w:val="24"/>
        </w:rPr>
        <w:t xml:space="preserve"> et al 2004). Because interfacial structures are only vaguely known, identification of structure–reactivity relationships in such systems has been very difficult. To make any progress in connecting structure to reactivity, it seems obvious that structure must be thoroughly understood.</w:t>
      </w:r>
    </w:p>
    <w:p w:rsidR="002C437B" w:rsidRPr="002C437B" w:rsidRDefault="002C437B" w:rsidP="002C437B">
      <w:pPr>
        <w:spacing w:before="100" w:beforeAutospacing="1" w:after="100" w:afterAutospacing="1" w:line="240" w:lineRule="auto"/>
        <w:rPr>
          <w:rFonts w:ascii="Times New Roman" w:eastAsia="Times New Roman" w:hAnsi="Times New Roman" w:cs="Times New Roman"/>
          <w:sz w:val="24"/>
          <w:szCs w:val="24"/>
        </w:rPr>
      </w:pPr>
      <w:r w:rsidRPr="002C437B">
        <w:rPr>
          <w:rFonts w:ascii="Times New Roman" w:eastAsia="Times New Roman" w:hAnsi="Times New Roman" w:cs="Times New Roman"/>
          <w:sz w:val="24"/>
          <w:szCs w:val="24"/>
        </w:rPr>
        <w:t>Even for very well studied structurally simple surfaces such as MgO (100), Al</w:t>
      </w:r>
      <w:r w:rsidRPr="002C437B">
        <w:rPr>
          <w:rFonts w:ascii="Times New Roman" w:eastAsia="Times New Roman" w:hAnsi="Times New Roman" w:cs="Times New Roman"/>
          <w:sz w:val="24"/>
          <w:szCs w:val="24"/>
          <w:vertAlign w:val="subscript"/>
        </w:rPr>
        <w:t>2</w:t>
      </w:r>
      <w:r w:rsidRPr="002C437B">
        <w:rPr>
          <w:rFonts w:ascii="Times New Roman" w:eastAsia="Times New Roman" w:hAnsi="Times New Roman" w:cs="Times New Roman"/>
          <w:sz w:val="24"/>
          <w:szCs w:val="24"/>
        </w:rPr>
        <w:t>O</w:t>
      </w:r>
      <w:r w:rsidRPr="002C437B">
        <w:rPr>
          <w:rFonts w:ascii="Times New Roman" w:eastAsia="Times New Roman" w:hAnsi="Times New Roman" w:cs="Times New Roman"/>
          <w:sz w:val="24"/>
          <w:szCs w:val="24"/>
          <w:vertAlign w:val="subscript"/>
        </w:rPr>
        <w:t>3</w:t>
      </w:r>
      <w:r w:rsidRPr="002C437B">
        <w:rPr>
          <w:rFonts w:ascii="Times New Roman" w:eastAsia="Times New Roman" w:hAnsi="Times New Roman" w:cs="Times New Roman"/>
          <w:sz w:val="24"/>
          <w:szCs w:val="24"/>
        </w:rPr>
        <w:t xml:space="preserve"> and Fe</w:t>
      </w:r>
      <w:r w:rsidRPr="002C437B">
        <w:rPr>
          <w:rFonts w:ascii="Times New Roman" w:eastAsia="Times New Roman" w:hAnsi="Times New Roman" w:cs="Times New Roman"/>
          <w:sz w:val="24"/>
          <w:szCs w:val="24"/>
          <w:vertAlign w:val="subscript"/>
        </w:rPr>
        <w:t>2</w:t>
      </w:r>
      <w:r w:rsidRPr="002C437B">
        <w:rPr>
          <w:rFonts w:ascii="Times New Roman" w:eastAsia="Times New Roman" w:hAnsi="Times New Roman" w:cs="Times New Roman"/>
          <w:sz w:val="24"/>
          <w:szCs w:val="24"/>
        </w:rPr>
        <w:t>O</w:t>
      </w:r>
      <w:r w:rsidRPr="002C437B">
        <w:rPr>
          <w:rFonts w:ascii="Times New Roman" w:eastAsia="Times New Roman" w:hAnsi="Times New Roman" w:cs="Times New Roman"/>
          <w:sz w:val="24"/>
          <w:szCs w:val="24"/>
          <w:vertAlign w:val="subscript"/>
        </w:rPr>
        <w:t>3</w:t>
      </w:r>
      <w:r w:rsidRPr="002C437B">
        <w:rPr>
          <w:rFonts w:ascii="Times New Roman" w:eastAsia="Times New Roman" w:hAnsi="Times New Roman" w:cs="Times New Roman"/>
          <w:sz w:val="24"/>
          <w:szCs w:val="24"/>
        </w:rPr>
        <w:t xml:space="preserve"> (012) and (001), TiO</w:t>
      </w:r>
      <w:r w:rsidRPr="002C437B">
        <w:rPr>
          <w:rFonts w:ascii="Times New Roman" w:eastAsia="Times New Roman" w:hAnsi="Times New Roman" w:cs="Times New Roman"/>
          <w:sz w:val="24"/>
          <w:szCs w:val="24"/>
          <w:vertAlign w:val="subscript"/>
        </w:rPr>
        <w:t>2</w:t>
      </w:r>
      <w:r w:rsidRPr="002C437B">
        <w:rPr>
          <w:rFonts w:ascii="Times New Roman" w:eastAsia="Times New Roman" w:hAnsi="Times New Roman" w:cs="Times New Roman"/>
          <w:sz w:val="24"/>
          <w:szCs w:val="24"/>
        </w:rPr>
        <w:t xml:space="preserve"> (110), and Fe</w:t>
      </w:r>
      <w:r w:rsidRPr="002C437B">
        <w:rPr>
          <w:rFonts w:ascii="Times New Roman" w:eastAsia="Times New Roman" w:hAnsi="Times New Roman" w:cs="Times New Roman"/>
          <w:sz w:val="24"/>
          <w:szCs w:val="24"/>
          <w:vertAlign w:val="subscript"/>
        </w:rPr>
        <w:t>3</w:t>
      </w:r>
      <w:r w:rsidRPr="002C437B">
        <w:rPr>
          <w:rFonts w:ascii="Times New Roman" w:eastAsia="Times New Roman" w:hAnsi="Times New Roman" w:cs="Times New Roman"/>
          <w:sz w:val="24"/>
          <w:szCs w:val="24"/>
        </w:rPr>
        <w:t>O</w:t>
      </w:r>
      <w:r w:rsidRPr="002C437B">
        <w:rPr>
          <w:rFonts w:ascii="Times New Roman" w:eastAsia="Times New Roman" w:hAnsi="Times New Roman" w:cs="Times New Roman"/>
          <w:sz w:val="24"/>
          <w:szCs w:val="24"/>
          <w:vertAlign w:val="subscript"/>
        </w:rPr>
        <w:t>4</w:t>
      </w:r>
      <w:r w:rsidRPr="002C437B">
        <w:rPr>
          <w:rFonts w:ascii="Times New Roman" w:eastAsia="Times New Roman" w:hAnsi="Times New Roman" w:cs="Times New Roman"/>
          <w:sz w:val="24"/>
          <w:szCs w:val="24"/>
        </w:rPr>
        <w:t xml:space="preserve"> (100), under ultra-high vacuum conditions, there remain large uncertainties about the stable terminations and the predominant hydroxylation states (Henderson, 2002, and references therein). Solvated surfaces are much more challenging. Non-uniqueness circumvents attempts at structure determination; a cogent example may be found in Trainor et al. (2002) where two very different terminations of Al</w:t>
      </w:r>
      <w:r w:rsidRPr="002C437B">
        <w:rPr>
          <w:rFonts w:ascii="Times New Roman" w:eastAsia="Times New Roman" w:hAnsi="Times New Roman" w:cs="Times New Roman"/>
          <w:sz w:val="24"/>
          <w:szCs w:val="24"/>
          <w:vertAlign w:val="subscript"/>
        </w:rPr>
        <w:t>2</w:t>
      </w:r>
      <w:r w:rsidRPr="002C437B">
        <w:rPr>
          <w:rFonts w:ascii="Times New Roman" w:eastAsia="Times New Roman" w:hAnsi="Times New Roman" w:cs="Times New Roman"/>
          <w:sz w:val="24"/>
          <w:szCs w:val="24"/>
        </w:rPr>
        <w:t>O</w:t>
      </w:r>
      <w:r w:rsidRPr="002C437B">
        <w:rPr>
          <w:rFonts w:ascii="Times New Roman" w:eastAsia="Times New Roman" w:hAnsi="Times New Roman" w:cs="Times New Roman"/>
          <w:sz w:val="24"/>
          <w:szCs w:val="24"/>
          <w:vertAlign w:val="subscript"/>
        </w:rPr>
        <w:t>3</w:t>
      </w:r>
      <w:r w:rsidRPr="002C437B">
        <w:rPr>
          <w:rFonts w:ascii="Times New Roman" w:eastAsia="Times New Roman" w:hAnsi="Times New Roman" w:cs="Times New Roman"/>
          <w:sz w:val="24"/>
          <w:szCs w:val="24"/>
        </w:rPr>
        <w:t xml:space="preserve"> (012) were found to give almost identical fits to X-ray scattering data. Moreover, both fits included significant percentages of fractional </w:t>
      </w:r>
      <w:r w:rsidRPr="002C437B">
        <w:rPr>
          <w:rFonts w:ascii="Times New Roman" w:eastAsia="Times New Roman" w:hAnsi="Times New Roman" w:cs="Times New Roman"/>
          <w:sz w:val="24"/>
          <w:szCs w:val="24"/>
        </w:rPr>
        <w:lastRenderedPageBreak/>
        <w:t>occupancy. Such uncertainties make it nearly impossible to use surface titration data to constrain individual functional group reactivity in any precise way, even for highly idealized systems such as Al</w:t>
      </w:r>
      <w:r w:rsidRPr="002C437B">
        <w:rPr>
          <w:rFonts w:ascii="Times New Roman" w:eastAsia="Times New Roman" w:hAnsi="Times New Roman" w:cs="Times New Roman"/>
          <w:sz w:val="24"/>
          <w:szCs w:val="24"/>
          <w:vertAlign w:val="subscript"/>
        </w:rPr>
        <w:t>2</w:t>
      </w:r>
      <w:r w:rsidRPr="002C437B">
        <w:rPr>
          <w:rFonts w:ascii="Times New Roman" w:eastAsia="Times New Roman" w:hAnsi="Times New Roman" w:cs="Times New Roman"/>
          <w:sz w:val="24"/>
          <w:szCs w:val="24"/>
        </w:rPr>
        <w:t>O</w:t>
      </w:r>
      <w:r w:rsidRPr="002C437B">
        <w:rPr>
          <w:rFonts w:ascii="Times New Roman" w:eastAsia="Times New Roman" w:hAnsi="Times New Roman" w:cs="Times New Roman"/>
          <w:sz w:val="24"/>
          <w:szCs w:val="24"/>
          <w:vertAlign w:val="subscript"/>
        </w:rPr>
        <w:t>3</w:t>
      </w:r>
      <w:r w:rsidRPr="002C437B">
        <w:rPr>
          <w:rFonts w:ascii="Times New Roman" w:eastAsia="Times New Roman" w:hAnsi="Times New Roman" w:cs="Times New Roman"/>
          <w:sz w:val="24"/>
          <w:szCs w:val="24"/>
        </w:rPr>
        <w:t xml:space="preserve"> (012).</w:t>
      </w:r>
    </w:p>
    <w:p w:rsidR="002C437B" w:rsidRPr="002C437B" w:rsidRDefault="002C437B" w:rsidP="002C437B">
      <w:pPr>
        <w:spacing w:before="100" w:beforeAutospacing="1" w:after="100" w:afterAutospacing="1" w:line="240" w:lineRule="auto"/>
        <w:rPr>
          <w:rFonts w:ascii="Times New Roman" w:eastAsia="Times New Roman" w:hAnsi="Times New Roman" w:cs="Times New Roman"/>
          <w:sz w:val="24"/>
          <w:szCs w:val="24"/>
        </w:rPr>
      </w:pPr>
      <w:r w:rsidRPr="002C437B">
        <w:rPr>
          <w:rFonts w:ascii="Times New Roman" w:eastAsia="Times New Roman" w:hAnsi="Times New Roman" w:cs="Times New Roman"/>
          <w:sz w:val="24"/>
          <w:szCs w:val="24"/>
        </w:rPr>
        <w:t>Recent advances in synthesis and characterization of nanometer-sized aqueous poly(</w:t>
      </w:r>
      <w:proofErr w:type="spellStart"/>
      <w:r w:rsidRPr="002C437B">
        <w:rPr>
          <w:rFonts w:ascii="Times New Roman" w:eastAsia="Times New Roman" w:hAnsi="Times New Roman" w:cs="Times New Roman"/>
          <w:sz w:val="24"/>
          <w:szCs w:val="24"/>
        </w:rPr>
        <w:t>hydr</w:t>
      </w:r>
      <w:proofErr w:type="spellEnd"/>
      <w:r w:rsidRPr="002C437B">
        <w:rPr>
          <w:rFonts w:ascii="Times New Roman" w:eastAsia="Times New Roman" w:hAnsi="Times New Roman" w:cs="Times New Roman"/>
          <w:sz w:val="24"/>
          <w:szCs w:val="24"/>
        </w:rPr>
        <w:t>)</w:t>
      </w:r>
      <w:proofErr w:type="spellStart"/>
      <w:r w:rsidRPr="002C437B">
        <w:rPr>
          <w:rFonts w:ascii="Times New Roman" w:eastAsia="Times New Roman" w:hAnsi="Times New Roman" w:cs="Times New Roman"/>
          <w:sz w:val="24"/>
          <w:szCs w:val="24"/>
        </w:rPr>
        <w:t>oxocations</w:t>
      </w:r>
      <w:proofErr w:type="spellEnd"/>
      <w:r w:rsidRPr="002C437B">
        <w:rPr>
          <w:rFonts w:ascii="Times New Roman" w:eastAsia="Times New Roman" w:hAnsi="Times New Roman" w:cs="Times New Roman"/>
          <w:sz w:val="24"/>
          <w:szCs w:val="24"/>
        </w:rPr>
        <w:t xml:space="preserve"> provide a particularly </w:t>
      </w:r>
      <w:proofErr w:type="gramStart"/>
      <w:r w:rsidRPr="002C437B">
        <w:rPr>
          <w:rFonts w:ascii="Times New Roman" w:eastAsia="Times New Roman" w:hAnsi="Times New Roman" w:cs="Times New Roman"/>
          <w:sz w:val="24"/>
          <w:szCs w:val="24"/>
        </w:rPr>
        <w:t>well defined</w:t>
      </w:r>
      <w:proofErr w:type="gramEnd"/>
      <w:r w:rsidRPr="002C437B">
        <w:rPr>
          <w:rFonts w:ascii="Times New Roman" w:eastAsia="Times New Roman" w:hAnsi="Times New Roman" w:cs="Times New Roman"/>
          <w:sz w:val="24"/>
          <w:szCs w:val="24"/>
        </w:rPr>
        <w:t xml:space="preserve"> path toward understanding reactivity in aqueous oxide systems (</w:t>
      </w:r>
      <w:proofErr w:type="spellStart"/>
      <w:r w:rsidRPr="002C437B">
        <w:rPr>
          <w:rFonts w:ascii="Times New Roman" w:eastAsia="Times New Roman" w:hAnsi="Times New Roman" w:cs="Times New Roman"/>
          <w:sz w:val="24"/>
          <w:szCs w:val="24"/>
        </w:rPr>
        <w:t>Furrer</w:t>
      </w:r>
      <w:proofErr w:type="spellEnd"/>
      <w:r w:rsidRPr="002C437B">
        <w:rPr>
          <w:rFonts w:ascii="Times New Roman" w:eastAsia="Times New Roman" w:hAnsi="Times New Roman" w:cs="Times New Roman"/>
          <w:sz w:val="24"/>
          <w:szCs w:val="24"/>
        </w:rPr>
        <w:t xml:space="preserve"> et al 1992, Phillips et al 2000, Casey et al 2001, Casey and Swaddle 2003). In a pioneering study, </w:t>
      </w:r>
      <w:proofErr w:type="spellStart"/>
      <w:r w:rsidRPr="002C437B">
        <w:rPr>
          <w:rFonts w:ascii="Times New Roman" w:eastAsia="Times New Roman" w:hAnsi="Times New Roman" w:cs="Times New Roman"/>
          <w:sz w:val="24"/>
          <w:szCs w:val="24"/>
        </w:rPr>
        <w:t>Furrer</w:t>
      </w:r>
      <w:proofErr w:type="spellEnd"/>
      <w:r w:rsidRPr="002C437B">
        <w:rPr>
          <w:rFonts w:ascii="Times New Roman" w:eastAsia="Times New Roman" w:hAnsi="Times New Roman" w:cs="Times New Roman"/>
          <w:sz w:val="24"/>
          <w:szCs w:val="24"/>
        </w:rPr>
        <w:t xml:space="preserve"> et al. (1992) titrated Al</w:t>
      </w:r>
      <w:r w:rsidRPr="002C437B">
        <w:rPr>
          <w:rFonts w:ascii="Times New Roman" w:eastAsia="Times New Roman" w:hAnsi="Times New Roman" w:cs="Times New Roman"/>
          <w:sz w:val="24"/>
          <w:szCs w:val="24"/>
          <w:vertAlign w:val="subscript"/>
        </w:rPr>
        <w:t>13</w:t>
      </w:r>
      <w:r w:rsidRPr="002C437B">
        <w:rPr>
          <w:rFonts w:ascii="Times New Roman" w:eastAsia="Times New Roman" w:hAnsi="Times New Roman" w:cs="Times New Roman"/>
          <w:sz w:val="24"/>
          <w:szCs w:val="24"/>
        </w:rPr>
        <w:t>O</w:t>
      </w:r>
      <w:r w:rsidRPr="002C437B">
        <w:rPr>
          <w:rFonts w:ascii="Times New Roman" w:eastAsia="Times New Roman" w:hAnsi="Times New Roman" w:cs="Times New Roman"/>
          <w:sz w:val="24"/>
          <w:szCs w:val="24"/>
          <w:vertAlign w:val="subscript"/>
        </w:rPr>
        <w:t>4</w:t>
      </w:r>
      <w:r w:rsidRPr="002C437B">
        <w:rPr>
          <w:rFonts w:ascii="Times New Roman" w:eastAsia="Times New Roman" w:hAnsi="Times New Roman" w:cs="Times New Roman"/>
          <w:sz w:val="24"/>
          <w:szCs w:val="24"/>
        </w:rPr>
        <w:t>(OH)</w:t>
      </w:r>
      <w:r w:rsidRPr="002C437B">
        <w:rPr>
          <w:rFonts w:ascii="Times New Roman" w:eastAsia="Times New Roman" w:hAnsi="Times New Roman" w:cs="Times New Roman"/>
          <w:sz w:val="24"/>
          <w:szCs w:val="24"/>
          <w:vertAlign w:val="subscript"/>
        </w:rPr>
        <w:t>24</w:t>
      </w:r>
      <w:r w:rsidRPr="002C437B">
        <w:rPr>
          <w:rFonts w:ascii="Times New Roman" w:eastAsia="Times New Roman" w:hAnsi="Times New Roman" w:cs="Times New Roman"/>
          <w:sz w:val="24"/>
          <w:szCs w:val="24"/>
        </w:rPr>
        <w:t>(H</w:t>
      </w:r>
      <w:r w:rsidRPr="002C437B">
        <w:rPr>
          <w:rFonts w:ascii="Times New Roman" w:eastAsia="Times New Roman" w:hAnsi="Times New Roman" w:cs="Times New Roman"/>
          <w:sz w:val="24"/>
          <w:szCs w:val="24"/>
          <w:vertAlign w:val="subscript"/>
        </w:rPr>
        <w:t>2</w:t>
      </w:r>
      <w:r w:rsidRPr="002C437B">
        <w:rPr>
          <w:rFonts w:ascii="Times New Roman" w:eastAsia="Times New Roman" w:hAnsi="Times New Roman" w:cs="Times New Roman"/>
          <w:sz w:val="24"/>
          <w:szCs w:val="24"/>
        </w:rPr>
        <w:t>O)</w:t>
      </w:r>
      <w:r w:rsidRPr="002C437B">
        <w:rPr>
          <w:rFonts w:ascii="Times New Roman" w:eastAsia="Times New Roman" w:hAnsi="Times New Roman" w:cs="Times New Roman"/>
          <w:sz w:val="24"/>
          <w:szCs w:val="24"/>
          <w:vertAlign w:val="subscript"/>
        </w:rPr>
        <w:t>12</w:t>
      </w:r>
      <w:r w:rsidRPr="002C437B">
        <w:rPr>
          <w:rFonts w:ascii="Times New Roman" w:eastAsia="Times New Roman" w:hAnsi="Times New Roman" w:cs="Times New Roman"/>
          <w:sz w:val="24"/>
          <w:szCs w:val="24"/>
          <w:vertAlign w:val="superscript"/>
        </w:rPr>
        <w:t>7+</w:t>
      </w:r>
      <w:r w:rsidRPr="002C437B">
        <w:rPr>
          <w:rFonts w:ascii="Times New Roman" w:eastAsia="Times New Roman" w:hAnsi="Times New Roman" w:cs="Times New Roman"/>
          <w:sz w:val="24"/>
          <w:szCs w:val="24"/>
        </w:rPr>
        <w:t xml:space="preserve"> (Al</w:t>
      </w:r>
      <w:r w:rsidRPr="002C437B">
        <w:rPr>
          <w:rFonts w:ascii="Times New Roman" w:eastAsia="Times New Roman" w:hAnsi="Times New Roman" w:cs="Times New Roman"/>
          <w:sz w:val="24"/>
          <w:szCs w:val="24"/>
          <w:vertAlign w:val="subscript"/>
        </w:rPr>
        <w:t>13</w:t>
      </w:r>
      <w:r w:rsidRPr="002C437B">
        <w:rPr>
          <w:rFonts w:ascii="Times New Roman" w:eastAsia="Times New Roman" w:hAnsi="Times New Roman" w:cs="Times New Roman"/>
          <w:sz w:val="24"/>
          <w:szCs w:val="24"/>
        </w:rPr>
        <w:t xml:space="preserve">), locating a deprotonation edge from </w:t>
      </w:r>
      <w:r w:rsidRPr="002C437B">
        <w:rPr>
          <w:rFonts w:ascii="Times New Roman" w:eastAsia="Times New Roman" w:hAnsi="Times New Roman" w:cs="Times New Roman"/>
          <w:i/>
          <w:iCs/>
          <w:sz w:val="24"/>
          <w:szCs w:val="24"/>
        </w:rPr>
        <w:t>p</w:t>
      </w:r>
      <w:r w:rsidRPr="002C437B">
        <w:rPr>
          <w:rFonts w:ascii="Times New Roman" w:eastAsia="Times New Roman" w:hAnsi="Times New Roman" w:cs="Times New Roman"/>
          <w:sz w:val="24"/>
          <w:szCs w:val="24"/>
        </w:rPr>
        <w:t>H 6–6.5. The Al</w:t>
      </w:r>
      <w:r w:rsidRPr="002C437B">
        <w:rPr>
          <w:rFonts w:ascii="Times New Roman" w:eastAsia="Times New Roman" w:hAnsi="Times New Roman" w:cs="Times New Roman"/>
          <w:sz w:val="24"/>
          <w:szCs w:val="24"/>
          <w:vertAlign w:val="subscript"/>
        </w:rPr>
        <w:t>13</w:t>
      </w:r>
      <w:r w:rsidRPr="002C437B">
        <w:rPr>
          <w:rFonts w:ascii="Times New Roman" w:eastAsia="Times New Roman" w:hAnsi="Times New Roman" w:cs="Times New Roman"/>
          <w:sz w:val="24"/>
          <w:szCs w:val="24"/>
        </w:rPr>
        <w:t xml:space="preserve"> ion has 12 identical ηH</w:t>
      </w:r>
      <w:r w:rsidRPr="002C437B">
        <w:rPr>
          <w:rFonts w:ascii="Times New Roman" w:eastAsia="Times New Roman" w:hAnsi="Times New Roman" w:cs="Times New Roman"/>
          <w:sz w:val="24"/>
          <w:szCs w:val="24"/>
          <w:vertAlign w:val="subscript"/>
        </w:rPr>
        <w:t>2</w:t>
      </w:r>
      <w:r w:rsidRPr="002C437B">
        <w:rPr>
          <w:rFonts w:ascii="Times New Roman" w:eastAsia="Times New Roman" w:hAnsi="Times New Roman" w:cs="Times New Roman"/>
          <w:sz w:val="24"/>
          <w:szCs w:val="24"/>
        </w:rPr>
        <w:t>O functional groups. In contrast, the Al</w:t>
      </w:r>
      <w:r w:rsidRPr="002C437B">
        <w:rPr>
          <w:rFonts w:ascii="Times New Roman" w:eastAsia="Times New Roman" w:hAnsi="Times New Roman" w:cs="Times New Roman"/>
          <w:sz w:val="24"/>
          <w:szCs w:val="24"/>
          <w:vertAlign w:val="subscript"/>
        </w:rPr>
        <w:t>30</w:t>
      </w:r>
      <w:r w:rsidRPr="002C437B">
        <w:rPr>
          <w:rFonts w:ascii="Times New Roman" w:eastAsia="Times New Roman" w:hAnsi="Times New Roman" w:cs="Times New Roman"/>
          <w:sz w:val="24"/>
          <w:szCs w:val="24"/>
        </w:rPr>
        <w:t>O</w:t>
      </w:r>
      <w:r w:rsidRPr="002C437B">
        <w:rPr>
          <w:rFonts w:ascii="Times New Roman" w:eastAsia="Times New Roman" w:hAnsi="Times New Roman" w:cs="Times New Roman"/>
          <w:sz w:val="24"/>
          <w:szCs w:val="24"/>
          <w:vertAlign w:val="subscript"/>
        </w:rPr>
        <w:t>8</w:t>
      </w:r>
      <w:r w:rsidRPr="002C437B">
        <w:rPr>
          <w:rFonts w:ascii="Times New Roman" w:eastAsia="Times New Roman" w:hAnsi="Times New Roman" w:cs="Times New Roman"/>
          <w:sz w:val="24"/>
          <w:szCs w:val="24"/>
        </w:rPr>
        <w:t>(OH)</w:t>
      </w:r>
      <w:r w:rsidRPr="002C437B">
        <w:rPr>
          <w:rFonts w:ascii="Times New Roman" w:eastAsia="Times New Roman" w:hAnsi="Times New Roman" w:cs="Times New Roman"/>
          <w:sz w:val="24"/>
          <w:szCs w:val="24"/>
          <w:vertAlign w:val="subscript"/>
        </w:rPr>
        <w:t>56</w:t>
      </w:r>
      <w:r w:rsidRPr="002C437B">
        <w:rPr>
          <w:rFonts w:ascii="Times New Roman" w:eastAsia="Times New Roman" w:hAnsi="Times New Roman" w:cs="Times New Roman"/>
          <w:sz w:val="24"/>
          <w:szCs w:val="24"/>
        </w:rPr>
        <w:t>(H</w:t>
      </w:r>
      <w:r w:rsidRPr="002C437B">
        <w:rPr>
          <w:rFonts w:ascii="Times New Roman" w:eastAsia="Times New Roman" w:hAnsi="Times New Roman" w:cs="Times New Roman"/>
          <w:sz w:val="24"/>
          <w:szCs w:val="24"/>
          <w:vertAlign w:val="subscript"/>
        </w:rPr>
        <w:t>2</w:t>
      </w:r>
      <w:r w:rsidRPr="002C437B">
        <w:rPr>
          <w:rFonts w:ascii="Times New Roman" w:eastAsia="Times New Roman" w:hAnsi="Times New Roman" w:cs="Times New Roman"/>
          <w:sz w:val="24"/>
          <w:szCs w:val="24"/>
        </w:rPr>
        <w:t>O)</w:t>
      </w:r>
      <w:r w:rsidRPr="002C437B">
        <w:rPr>
          <w:rFonts w:ascii="Times New Roman" w:eastAsia="Times New Roman" w:hAnsi="Times New Roman" w:cs="Times New Roman"/>
          <w:sz w:val="24"/>
          <w:szCs w:val="24"/>
          <w:vertAlign w:val="subscript"/>
        </w:rPr>
        <w:t>26</w:t>
      </w:r>
      <w:r w:rsidRPr="002C437B">
        <w:rPr>
          <w:rFonts w:ascii="Times New Roman" w:eastAsia="Times New Roman" w:hAnsi="Times New Roman" w:cs="Times New Roman"/>
          <w:sz w:val="24"/>
          <w:szCs w:val="24"/>
          <w:vertAlign w:val="superscript"/>
        </w:rPr>
        <w:t>18+</w:t>
      </w:r>
      <w:r w:rsidRPr="002C437B">
        <w:rPr>
          <w:rFonts w:ascii="Times New Roman" w:eastAsia="Times New Roman" w:hAnsi="Times New Roman" w:cs="Times New Roman"/>
          <w:sz w:val="24"/>
          <w:szCs w:val="24"/>
        </w:rPr>
        <w:t xml:space="preserve"> (Al</w:t>
      </w:r>
      <w:r w:rsidRPr="002C437B">
        <w:rPr>
          <w:rFonts w:ascii="Times New Roman" w:eastAsia="Times New Roman" w:hAnsi="Times New Roman" w:cs="Times New Roman"/>
          <w:sz w:val="24"/>
          <w:szCs w:val="24"/>
          <w:vertAlign w:val="subscript"/>
        </w:rPr>
        <w:t>30</w:t>
      </w:r>
      <w:r w:rsidRPr="002C437B">
        <w:rPr>
          <w:rFonts w:ascii="Times New Roman" w:eastAsia="Times New Roman" w:hAnsi="Times New Roman" w:cs="Times New Roman"/>
          <w:sz w:val="24"/>
          <w:szCs w:val="24"/>
        </w:rPr>
        <w:t>) ion has a variety of oxide functional groups, including η-H</w:t>
      </w:r>
      <w:r w:rsidRPr="002C437B">
        <w:rPr>
          <w:rFonts w:ascii="Times New Roman" w:eastAsia="Times New Roman" w:hAnsi="Times New Roman" w:cs="Times New Roman"/>
          <w:sz w:val="24"/>
          <w:szCs w:val="24"/>
          <w:vertAlign w:val="subscript"/>
        </w:rPr>
        <w:t>2</w:t>
      </w:r>
      <w:r w:rsidRPr="002C437B">
        <w:rPr>
          <w:rFonts w:ascii="Times New Roman" w:eastAsia="Times New Roman" w:hAnsi="Times New Roman" w:cs="Times New Roman"/>
          <w:sz w:val="24"/>
          <w:szCs w:val="24"/>
        </w:rPr>
        <w:t>O, μ-OH, and μ</w:t>
      </w:r>
      <w:r w:rsidRPr="002C437B">
        <w:rPr>
          <w:rFonts w:ascii="Times New Roman" w:eastAsia="Times New Roman" w:hAnsi="Times New Roman" w:cs="Times New Roman"/>
          <w:sz w:val="24"/>
          <w:szCs w:val="24"/>
          <w:vertAlign w:val="subscript"/>
        </w:rPr>
        <w:t>3</w:t>
      </w:r>
      <w:r w:rsidRPr="002C437B">
        <w:rPr>
          <w:rFonts w:ascii="Times New Roman" w:eastAsia="Times New Roman" w:hAnsi="Times New Roman" w:cs="Times New Roman"/>
          <w:sz w:val="24"/>
          <w:szCs w:val="24"/>
        </w:rPr>
        <w:t>OH coordination states. It thus represents a logical step toward increasing polynuclear complexity, and constitutes a useful experimental and theoretical system for testing models of acid–base reactions on heterogeneous surfaces (Casey et al., 2001).</w:t>
      </w:r>
    </w:p>
    <w:p w:rsidR="002C437B" w:rsidRPr="002C437B" w:rsidRDefault="002C437B" w:rsidP="002C437B">
      <w:pPr>
        <w:spacing w:before="100" w:beforeAutospacing="1" w:after="100" w:afterAutospacing="1" w:line="240" w:lineRule="auto"/>
        <w:rPr>
          <w:rFonts w:ascii="Times New Roman" w:eastAsia="Times New Roman" w:hAnsi="Times New Roman" w:cs="Times New Roman"/>
          <w:sz w:val="24"/>
          <w:szCs w:val="24"/>
        </w:rPr>
      </w:pPr>
      <w:r w:rsidRPr="002C437B">
        <w:rPr>
          <w:rFonts w:ascii="Times New Roman" w:eastAsia="Times New Roman" w:hAnsi="Times New Roman" w:cs="Times New Roman"/>
          <w:sz w:val="24"/>
          <w:szCs w:val="24"/>
        </w:rPr>
        <w:t xml:space="preserve">In this paper, molecular dynamics simulations are used to examine the release of protons by model </w:t>
      </w:r>
      <w:r w:rsidRPr="002C437B">
        <w:rPr>
          <w:rFonts w:ascii="Times New Roman" w:eastAsia="Times New Roman" w:hAnsi="Times New Roman" w:cs="Times New Roman"/>
          <w:i/>
          <w:iCs/>
          <w:sz w:val="24"/>
          <w:szCs w:val="24"/>
        </w:rPr>
        <w:t>M</w:t>
      </w:r>
      <w:r w:rsidRPr="002C437B">
        <w:rPr>
          <w:rFonts w:ascii="Times New Roman" w:eastAsia="Times New Roman" w:hAnsi="Times New Roman" w:cs="Times New Roman"/>
          <w:sz w:val="24"/>
          <w:szCs w:val="24"/>
          <w:vertAlign w:val="subscript"/>
        </w:rPr>
        <w:t>30</w:t>
      </w:r>
      <w:r w:rsidRPr="002C437B">
        <w:rPr>
          <w:rFonts w:ascii="Times New Roman" w:eastAsia="Times New Roman" w:hAnsi="Times New Roman" w:cs="Times New Roman"/>
          <w:sz w:val="24"/>
          <w:szCs w:val="24"/>
        </w:rPr>
        <w:t>O</w:t>
      </w:r>
      <w:r w:rsidRPr="002C437B">
        <w:rPr>
          <w:rFonts w:ascii="Times New Roman" w:eastAsia="Times New Roman" w:hAnsi="Times New Roman" w:cs="Times New Roman"/>
          <w:sz w:val="24"/>
          <w:szCs w:val="24"/>
          <w:vertAlign w:val="subscript"/>
        </w:rPr>
        <w:t>8</w:t>
      </w:r>
      <w:r w:rsidRPr="002C437B">
        <w:rPr>
          <w:rFonts w:ascii="Times New Roman" w:eastAsia="Times New Roman" w:hAnsi="Times New Roman" w:cs="Times New Roman"/>
          <w:sz w:val="24"/>
          <w:szCs w:val="24"/>
        </w:rPr>
        <w:t>(OH)</w:t>
      </w:r>
      <w:r w:rsidRPr="002C437B">
        <w:rPr>
          <w:rFonts w:ascii="Times New Roman" w:eastAsia="Times New Roman" w:hAnsi="Times New Roman" w:cs="Times New Roman"/>
          <w:sz w:val="24"/>
          <w:szCs w:val="24"/>
          <w:vertAlign w:val="subscript"/>
        </w:rPr>
        <w:t>56</w:t>
      </w:r>
      <w:r w:rsidRPr="002C437B">
        <w:rPr>
          <w:rFonts w:ascii="Times New Roman" w:eastAsia="Times New Roman" w:hAnsi="Times New Roman" w:cs="Times New Roman"/>
          <w:sz w:val="24"/>
          <w:szCs w:val="24"/>
        </w:rPr>
        <w:t>(H</w:t>
      </w:r>
      <w:r w:rsidRPr="002C437B">
        <w:rPr>
          <w:rFonts w:ascii="Times New Roman" w:eastAsia="Times New Roman" w:hAnsi="Times New Roman" w:cs="Times New Roman"/>
          <w:sz w:val="24"/>
          <w:szCs w:val="24"/>
          <w:vertAlign w:val="subscript"/>
        </w:rPr>
        <w:t>2</w:t>
      </w:r>
      <w:r w:rsidRPr="002C437B">
        <w:rPr>
          <w:rFonts w:ascii="Times New Roman" w:eastAsia="Times New Roman" w:hAnsi="Times New Roman" w:cs="Times New Roman"/>
          <w:sz w:val="24"/>
          <w:szCs w:val="24"/>
        </w:rPr>
        <w:t>O)</w:t>
      </w:r>
      <w:r w:rsidRPr="002C437B">
        <w:rPr>
          <w:rFonts w:ascii="Times New Roman" w:eastAsia="Times New Roman" w:hAnsi="Times New Roman" w:cs="Times New Roman"/>
          <w:sz w:val="24"/>
          <w:szCs w:val="24"/>
          <w:vertAlign w:val="subscript"/>
        </w:rPr>
        <w:t>26</w:t>
      </w:r>
      <w:r w:rsidRPr="002C437B">
        <w:rPr>
          <w:rFonts w:ascii="Times New Roman" w:eastAsia="Times New Roman" w:hAnsi="Times New Roman" w:cs="Times New Roman"/>
          <w:sz w:val="24"/>
          <w:szCs w:val="24"/>
          <w:vertAlign w:val="superscript"/>
        </w:rPr>
        <w:t>18+</w:t>
      </w:r>
      <w:r w:rsidRPr="002C437B">
        <w:rPr>
          <w:rFonts w:ascii="Times New Roman" w:eastAsia="Times New Roman" w:hAnsi="Times New Roman" w:cs="Times New Roman"/>
          <w:sz w:val="24"/>
          <w:szCs w:val="24"/>
        </w:rPr>
        <w:t xml:space="preserve"> (</w:t>
      </w:r>
      <w:r w:rsidRPr="002C437B">
        <w:rPr>
          <w:rFonts w:ascii="Times New Roman" w:eastAsia="Times New Roman" w:hAnsi="Times New Roman" w:cs="Times New Roman"/>
          <w:i/>
          <w:iCs/>
          <w:sz w:val="24"/>
          <w:szCs w:val="24"/>
        </w:rPr>
        <w:t>M</w:t>
      </w:r>
      <w:r w:rsidRPr="002C437B">
        <w:rPr>
          <w:rFonts w:ascii="Times New Roman" w:eastAsia="Times New Roman" w:hAnsi="Times New Roman" w:cs="Times New Roman"/>
          <w:sz w:val="24"/>
          <w:szCs w:val="24"/>
          <w:vertAlign w:val="subscript"/>
        </w:rPr>
        <w:t>30</w:t>
      </w:r>
      <w:r w:rsidRPr="002C437B">
        <w:rPr>
          <w:rFonts w:ascii="Times New Roman" w:eastAsia="Times New Roman" w:hAnsi="Times New Roman" w:cs="Times New Roman"/>
          <w:sz w:val="24"/>
          <w:szCs w:val="24"/>
        </w:rPr>
        <w:t xml:space="preserve">) and </w:t>
      </w:r>
      <w:r w:rsidRPr="002C437B">
        <w:rPr>
          <w:rFonts w:ascii="Times New Roman" w:eastAsia="Times New Roman" w:hAnsi="Times New Roman" w:cs="Times New Roman"/>
          <w:i/>
          <w:iCs/>
          <w:sz w:val="24"/>
          <w:szCs w:val="24"/>
        </w:rPr>
        <w:t>M</w:t>
      </w:r>
      <w:r w:rsidRPr="002C437B">
        <w:rPr>
          <w:rFonts w:ascii="Times New Roman" w:eastAsia="Times New Roman" w:hAnsi="Times New Roman" w:cs="Times New Roman"/>
          <w:sz w:val="24"/>
          <w:szCs w:val="24"/>
          <w:vertAlign w:val="subscript"/>
        </w:rPr>
        <w:t>13</w:t>
      </w:r>
      <w:r w:rsidRPr="002C437B">
        <w:rPr>
          <w:rFonts w:ascii="Times New Roman" w:eastAsia="Times New Roman" w:hAnsi="Times New Roman" w:cs="Times New Roman"/>
          <w:sz w:val="24"/>
          <w:szCs w:val="24"/>
        </w:rPr>
        <w:t>O</w:t>
      </w:r>
      <w:r w:rsidRPr="002C437B">
        <w:rPr>
          <w:rFonts w:ascii="Times New Roman" w:eastAsia="Times New Roman" w:hAnsi="Times New Roman" w:cs="Times New Roman"/>
          <w:sz w:val="24"/>
          <w:szCs w:val="24"/>
          <w:vertAlign w:val="subscript"/>
        </w:rPr>
        <w:t>4</w:t>
      </w:r>
      <w:r w:rsidRPr="002C437B">
        <w:rPr>
          <w:rFonts w:ascii="Times New Roman" w:eastAsia="Times New Roman" w:hAnsi="Times New Roman" w:cs="Times New Roman"/>
          <w:sz w:val="24"/>
          <w:szCs w:val="24"/>
        </w:rPr>
        <w:t>(OH)</w:t>
      </w:r>
      <w:r w:rsidRPr="002C437B">
        <w:rPr>
          <w:rFonts w:ascii="Times New Roman" w:eastAsia="Times New Roman" w:hAnsi="Times New Roman" w:cs="Times New Roman"/>
          <w:sz w:val="24"/>
          <w:szCs w:val="24"/>
          <w:vertAlign w:val="subscript"/>
        </w:rPr>
        <w:t>24</w:t>
      </w:r>
      <w:r w:rsidRPr="002C437B">
        <w:rPr>
          <w:rFonts w:ascii="Times New Roman" w:eastAsia="Times New Roman" w:hAnsi="Times New Roman" w:cs="Times New Roman"/>
          <w:sz w:val="24"/>
          <w:szCs w:val="24"/>
        </w:rPr>
        <w:t>(H</w:t>
      </w:r>
      <w:r w:rsidRPr="002C437B">
        <w:rPr>
          <w:rFonts w:ascii="Times New Roman" w:eastAsia="Times New Roman" w:hAnsi="Times New Roman" w:cs="Times New Roman"/>
          <w:sz w:val="24"/>
          <w:szCs w:val="24"/>
          <w:vertAlign w:val="subscript"/>
        </w:rPr>
        <w:t>2</w:t>
      </w:r>
      <w:r w:rsidRPr="002C437B">
        <w:rPr>
          <w:rFonts w:ascii="Times New Roman" w:eastAsia="Times New Roman" w:hAnsi="Times New Roman" w:cs="Times New Roman"/>
          <w:sz w:val="24"/>
          <w:szCs w:val="24"/>
        </w:rPr>
        <w:t>O)</w:t>
      </w:r>
      <w:r w:rsidRPr="002C437B">
        <w:rPr>
          <w:rFonts w:ascii="Times New Roman" w:eastAsia="Times New Roman" w:hAnsi="Times New Roman" w:cs="Times New Roman"/>
          <w:sz w:val="24"/>
          <w:szCs w:val="24"/>
          <w:vertAlign w:val="subscript"/>
        </w:rPr>
        <w:t>12</w:t>
      </w:r>
      <w:r w:rsidRPr="002C437B">
        <w:rPr>
          <w:rFonts w:ascii="Times New Roman" w:eastAsia="Times New Roman" w:hAnsi="Times New Roman" w:cs="Times New Roman"/>
          <w:sz w:val="24"/>
          <w:szCs w:val="24"/>
          <w:vertAlign w:val="superscript"/>
        </w:rPr>
        <w:t>7+</w:t>
      </w:r>
      <w:r w:rsidRPr="002C437B">
        <w:rPr>
          <w:rFonts w:ascii="Times New Roman" w:eastAsia="Times New Roman" w:hAnsi="Times New Roman" w:cs="Times New Roman"/>
          <w:sz w:val="24"/>
          <w:szCs w:val="24"/>
        </w:rPr>
        <w:t xml:space="preserve"> (</w:t>
      </w:r>
      <w:r w:rsidRPr="002C437B">
        <w:rPr>
          <w:rFonts w:ascii="Times New Roman" w:eastAsia="Times New Roman" w:hAnsi="Times New Roman" w:cs="Times New Roman"/>
          <w:i/>
          <w:iCs/>
          <w:sz w:val="24"/>
          <w:szCs w:val="24"/>
        </w:rPr>
        <w:t>M</w:t>
      </w:r>
      <w:r w:rsidRPr="002C437B">
        <w:rPr>
          <w:rFonts w:ascii="Times New Roman" w:eastAsia="Times New Roman" w:hAnsi="Times New Roman" w:cs="Times New Roman"/>
          <w:sz w:val="24"/>
          <w:szCs w:val="24"/>
          <w:vertAlign w:val="subscript"/>
        </w:rPr>
        <w:t>13</w:t>
      </w:r>
      <w:r w:rsidRPr="002C437B">
        <w:rPr>
          <w:rFonts w:ascii="Times New Roman" w:eastAsia="Times New Roman" w:hAnsi="Times New Roman" w:cs="Times New Roman"/>
          <w:sz w:val="24"/>
          <w:szCs w:val="24"/>
        </w:rPr>
        <w:t xml:space="preserve">) polycations in aqueous perchlorate solutions as a function of hydroxide ion concentration. The approach is comprehensive; calculations are performed in the gas phase, in solution, and in the solid state (crystallized as a hydrated sulfate salt). Structures for each system are compared/correlated with the calculated reactivity in solution. The key question addressed here is whether there are local, easily assessable structural controls on reactivity that can be used to predict the solution </w:t>
      </w:r>
      <w:proofErr w:type="spellStart"/>
      <w:r w:rsidRPr="002C437B">
        <w:rPr>
          <w:rFonts w:ascii="Times New Roman" w:eastAsia="Times New Roman" w:hAnsi="Times New Roman" w:cs="Times New Roman"/>
          <w:i/>
          <w:iCs/>
          <w:sz w:val="24"/>
          <w:szCs w:val="24"/>
        </w:rPr>
        <w:t>p</w:t>
      </w:r>
      <w:r w:rsidRPr="002C437B">
        <w:rPr>
          <w:rFonts w:ascii="Times New Roman" w:eastAsia="Times New Roman" w:hAnsi="Times New Roman" w:cs="Times New Roman"/>
          <w:sz w:val="24"/>
          <w:szCs w:val="24"/>
        </w:rPr>
        <w:t>K</w:t>
      </w:r>
      <w:r w:rsidRPr="002C437B">
        <w:rPr>
          <w:rFonts w:ascii="Times New Roman" w:eastAsia="Times New Roman" w:hAnsi="Times New Roman" w:cs="Times New Roman"/>
          <w:sz w:val="24"/>
          <w:szCs w:val="24"/>
          <w:vertAlign w:val="subscript"/>
        </w:rPr>
        <w:t>a</w:t>
      </w:r>
      <w:proofErr w:type="spellEnd"/>
      <w:r w:rsidRPr="002C437B">
        <w:rPr>
          <w:rFonts w:ascii="Times New Roman" w:eastAsia="Times New Roman" w:hAnsi="Times New Roman" w:cs="Times New Roman"/>
          <w:sz w:val="24"/>
          <w:szCs w:val="24"/>
        </w:rPr>
        <w:t>, short of building a molecular model of the entire ion. If the connection between structure and reactivity cannot be made for an idealized system with highly simplified forces of interaction and exact knowledge of structure, then the whole idea of seeking a multisite model should be reexamined.</w:t>
      </w:r>
    </w:p>
    <w:p w:rsidR="002C437B" w:rsidRPr="002C437B" w:rsidRDefault="002C437B" w:rsidP="002C437B">
      <w:pPr>
        <w:spacing w:before="100" w:beforeAutospacing="1" w:after="100" w:afterAutospacing="1" w:line="240" w:lineRule="auto"/>
        <w:outlineLvl w:val="1"/>
        <w:rPr>
          <w:rFonts w:ascii="Times New Roman" w:eastAsia="Times New Roman" w:hAnsi="Times New Roman" w:cs="Times New Roman"/>
          <w:b/>
          <w:bCs/>
          <w:sz w:val="36"/>
          <w:szCs w:val="36"/>
        </w:rPr>
      </w:pPr>
      <w:r w:rsidRPr="002C437B">
        <w:rPr>
          <w:rFonts w:ascii="Times New Roman" w:eastAsia="Times New Roman" w:hAnsi="Times New Roman" w:cs="Times New Roman"/>
          <w:b/>
          <w:bCs/>
          <w:sz w:val="36"/>
          <w:szCs w:val="36"/>
        </w:rPr>
        <w:t>Section snippets</w:t>
      </w:r>
    </w:p>
    <w:p w:rsidR="002C437B" w:rsidRPr="002C437B" w:rsidRDefault="002C437B" w:rsidP="002C437B">
      <w:pPr>
        <w:spacing w:before="100" w:beforeAutospacing="1" w:after="100" w:afterAutospacing="1" w:line="240" w:lineRule="auto"/>
        <w:outlineLvl w:val="1"/>
        <w:rPr>
          <w:rFonts w:ascii="Times New Roman" w:eastAsia="Times New Roman" w:hAnsi="Times New Roman" w:cs="Times New Roman"/>
          <w:b/>
          <w:bCs/>
          <w:sz w:val="36"/>
          <w:szCs w:val="36"/>
        </w:rPr>
      </w:pPr>
      <w:r w:rsidRPr="002C437B">
        <w:rPr>
          <w:rFonts w:ascii="Times New Roman" w:eastAsia="Times New Roman" w:hAnsi="Times New Roman" w:cs="Times New Roman"/>
          <w:b/>
          <w:bCs/>
          <w:sz w:val="36"/>
          <w:szCs w:val="36"/>
        </w:rPr>
        <w:t>Background: structure of the Al</w:t>
      </w:r>
      <w:r w:rsidRPr="002C437B">
        <w:rPr>
          <w:rFonts w:ascii="Times New Roman" w:eastAsia="Times New Roman" w:hAnsi="Times New Roman" w:cs="Times New Roman"/>
          <w:b/>
          <w:bCs/>
          <w:sz w:val="36"/>
          <w:szCs w:val="36"/>
          <w:vertAlign w:val="subscript"/>
        </w:rPr>
        <w:t>30</w:t>
      </w:r>
      <w:r w:rsidRPr="002C437B">
        <w:rPr>
          <w:rFonts w:ascii="Times New Roman" w:eastAsia="Times New Roman" w:hAnsi="Times New Roman" w:cs="Times New Roman"/>
          <w:b/>
          <w:bCs/>
          <w:sz w:val="36"/>
          <w:szCs w:val="36"/>
        </w:rPr>
        <w:t xml:space="preserve"> ion</w:t>
      </w:r>
    </w:p>
    <w:p w:rsidR="002C437B" w:rsidRPr="002C437B" w:rsidRDefault="002C437B" w:rsidP="002C437B">
      <w:pPr>
        <w:spacing w:before="100" w:beforeAutospacing="1" w:after="100" w:afterAutospacing="1" w:line="240" w:lineRule="auto"/>
        <w:rPr>
          <w:rFonts w:ascii="Times New Roman" w:eastAsia="Times New Roman" w:hAnsi="Times New Roman" w:cs="Times New Roman"/>
          <w:sz w:val="24"/>
          <w:szCs w:val="24"/>
        </w:rPr>
      </w:pPr>
      <w:r w:rsidRPr="002C437B">
        <w:rPr>
          <w:rFonts w:ascii="Times New Roman" w:eastAsia="Times New Roman" w:hAnsi="Times New Roman" w:cs="Times New Roman"/>
          <w:sz w:val="24"/>
          <w:szCs w:val="24"/>
        </w:rPr>
        <w:t>Fu et al. (1991) identified the presence of Al</w:t>
      </w:r>
      <w:r w:rsidRPr="002C437B">
        <w:rPr>
          <w:rFonts w:ascii="Times New Roman" w:eastAsia="Times New Roman" w:hAnsi="Times New Roman" w:cs="Times New Roman"/>
          <w:sz w:val="24"/>
          <w:szCs w:val="24"/>
          <w:vertAlign w:val="subscript"/>
        </w:rPr>
        <w:t>30</w:t>
      </w:r>
      <w:r w:rsidRPr="002C437B">
        <w:rPr>
          <w:rFonts w:ascii="Times New Roman" w:eastAsia="Times New Roman" w:hAnsi="Times New Roman" w:cs="Times New Roman"/>
          <w:sz w:val="24"/>
          <w:szCs w:val="24"/>
        </w:rPr>
        <w:t>O</w:t>
      </w:r>
      <w:r w:rsidRPr="002C437B">
        <w:rPr>
          <w:rFonts w:ascii="Times New Roman" w:eastAsia="Times New Roman" w:hAnsi="Times New Roman" w:cs="Times New Roman"/>
          <w:sz w:val="24"/>
          <w:szCs w:val="24"/>
          <w:vertAlign w:val="subscript"/>
        </w:rPr>
        <w:t>8</w:t>
      </w:r>
      <w:r w:rsidRPr="002C437B">
        <w:rPr>
          <w:rFonts w:ascii="Times New Roman" w:eastAsia="Times New Roman" w:hAnsi="Times New Roman" w:cs="Times New Roman"/>
          <w:sz w:val="24"/>
          <w:szCs w:val="24"/>
        </w:rPr>
        <w:t>(OH)</w:t>
      </w:r>
      <w:r w:rsidRPr="002C437B">
        <w:rPr>
          <w:rFonts w:ascii="Times New Roman" w:eastAsia="Times New Roman" w:hAnsi="Times New Roman" w:cs="Times New Roman"/>
          <w:sz w:val="24"/>
          <w:szCs w:val="24"/>
          <w:vertAlign w:val="subscript"/>
        </w:rPr>
        <w:t>56</w:t>
      </w:r>
      <w:r w:rsidRPr="002C437B">
        <w:rPr>
          <w:rFonts w:ascii="Times New Roman" w:eastAsia="Times New Roman" w:hAnsi="Times New Roman" w:cs="Times New Roman"/>
          <w:sz w:val="24"/>
          <w:szCs w:val="24"/>
        </w:rPr>
        <w:t>(H</w:t>
      </w:r>
      <w:r w:rsidRPr="002C437B">
        <w:rPr>
          <w:rFonts w:ascii="Times New Roman" w:eastAsia="Times New Roman" w:hAnsi="Times New Roman" w:cs="Times New Roman"/>
          <w:sz w:val="24"/>
          <w:szCs w:val="24"/>
          <w:vertAlign w:val="subscript"/>
        </w:rPr>
        <w:t>2</w:t>
      </w:r>
      <w:r w:rsidRPr="002C437B">
        <w:rPr>
          <w:rFonts w:ascii="Times New Roman" w:eastAsia="Times New Roman" w:hAnsi="Times New Roman" w:cs="Times New Roman"/>
          <w:sz w:val="24"/>
          <w:szCs w:val="24"/>
        </w:rPr>
        <w:t>O)</w:t>
      </w:r>
      <w:r w:rsidRPr="002C437B">
        <w:rPr>
          <w:rFonts w:ascii="Times New Roman" w:eastAsia="Times New Roman" w:hAnsi="Times New Roman" w:cs="Times New Roman"/>
          <w:sz w:val="24"/>
          <w:szCs w:val="24"/>
          <w:vertAlign w:val="subscript"/>
        </w:rPr>
        <w:t>26</w:t>
      </w:r>
      <w:r w:rsidRPr="002C437B">
        <w:rPr>
          <w:rFonts w:ascii="Times New Roman" w:eastAsia="Times New Roman" w:hAnsi="Times New Roman" w:cs="Times New Roman"/>
          <w:sz w:val="24"/>
          <w:szCs w:val="24"/>
          <w:vertAlign w:val="superscript"/>
        </w:rPr>
        <w:t>18+</w:t>
      </w:r>
      <w:r w:rsidRPr="002C437B">
        <w:rPr>
          <w:rFonts w:ascii="Times New Roman" w:eastAsia="Times New Roman" w:hAnsi="Times New Roman" w:cs="Times New Roman"/>
          <w:sz w:val="24"/>
          <w:szCs w:val="24"/>
        </w:rPr>
        <w:t xml:space="preserve"> (Al</w:t>
      </w:r>
      <w:r w:rsidRPr="002C437B">
        <w:rPr>
          <w:rFonts w:ascii="Times New Roman" w:eastAsia="Times New Roman" w:hAnsi="Times New Roman" w:cs="Times New Roman"/>
          <w:sz w:val="24"/>
          <w:szCs w:val="24"/>
          <w:vertAlign w:val="subscript"/>
        </w:rPr>
        <w:t>30</w:t>
      </w:r>
      <w:r w:rsidRPr="002C437B">
        <w:rPr>
          <w:rFonts w:ascii="Times New Roman" w:eastAsia="Times New Roman" w:hAnsi="Times New Roman" w:cs="Times New Roman"/>
          <w:sz w:val="24"/>
          <w:szCs w:val="24"/>
        </w:rPr>
        <w:t xml:space="preserve">) ion in aqueous solution. Both </w:t>
      </w:r>
      <w:proofErr w:type="spellStart"/>
      <w:r w:rsidRPr="002C437B">
        <w:rPr>
          <w:rFonts w:ascii="Times New Roman" w:eastAsia="Times New Roman" w:hAnsi="Times New Roman" w:cs="Times New Roman"/>
          <w:sz w:val="24"/>
          <w:szCs w:val="24"/>
        </w:rPr>
        <w:t>Rowsell</w:t>
      </w:r>
      <w:proofErr w:type="spellEnd"/>
      <w:r w:rsidRPr="002C437B">
        <w:rPr>
          <w:rFonts w:ascii="Times New Roman" w:eastAsia="Times New Roman" w:hAnsi="Times New Roman" w:cs="Times New Roman"/>
          <w:sz w:val="24"/>
          <w:szCs w:val="24"/>
        </w:rPr>
        <w:t xml:space="preserve"> and </w:t>
      </w:r>
      <w:proofErr w:type="spellStart"/>
      <w:r w:rsidRPr="002C437B">
        <w:rPr>
          <w:rFonts w:ascii="Times New Roman" w:eastAsia="Times New Roman" w:hAnsi="Times New Roman" w:cs="Times New Roman"/>
          <w:sz w:val="24"/>
          <w:szCs w:val="24"/>
        </w:rPr>
        <w:t>Nazar</w:t>
      </w:r>
      <w:proofErr w:type="spellEnd"/>
      <w:r w:rsidRPr="002C437B">
        <w:rPr>
          <w:rFonts w:ascii="Times New Roman" w:eastAsia="Times New Roman" w:hAnsi="Times New Roman" w:cs="Times New Roman"/>
          <w:sz w:val="24"/>
          <w:szCs w:val="24"/>
        </w:rPr>
        <w:t xml:space="preserve"> (2000) and </w:t>
      </w:r>
      <w:proofErr w:type="spellStart"/>
      <w:r w:rsidRPr="002C437B">
        <w:rPr>
          <w:rFonts w:ascii="Times New Roman" w:eastAsia="Times New Roman" w:hAnsi="Times New Roman" w:cs="Times New Roman"/>
          <w:sz w:val="24"/>
          <w:szCs w:val="24"/>
        </w:rPr>
        <w:t>Allouche</w:t>
      </w:r>
      <w:proofErr w:type="spellEnd"/>
      <w:r w:rsidRPr="002C437B">
        <w:rPr>
          <w:rFonts w:ascii="Times New Roman" w:eastAsia="Times New Roman" w:hAnsi="Times New Roman" w:cs="Times New Roman"/>
          <w:sz w:val="24"/>
          <w:szCs w:val="24"/>
        </w:rPr>
        <w:t xml:space="preserve"> et al. (2000) determined its structure in single crystal X-ray diffraction studies. The structure, shown in Figure 1, consists of two “capped” δ-Al</w:t>
      </w:r>
      <w:r w:rsidRPr="002C437B">
        <w:rPr>
          <w:rFonts w:ascii="Times New Roman" w:eastAsia="Times New Roman" w:hAnsi="Times New Roman" w:cs="Times New Roman"/>
          <w:sz w:val="24"/>
          <w:szCs w:val="24"/>
          <w:vertAlign w:val="subscript"/>
        </w:rPr>
        <w:t>13</w:t>
      </w:r>
      <w:r w:rsidRPr="002C437B">
        <w:rPr>
          <w:rFonts w:ascii="Times New Roman" w:eastAsia="Times New Roman" w:hAnsi="Times New Roman" w:cs="Times New Roman"/>
          <w:sz w:val="24"/>
          <w:szCs w:val="24"/>
        </w:rPr>
        <w:t xml:space="preserve"> ions. There </w:t>
      </w:r>
      <w:proofErr w:type="gramStart"/>
      <w:r w:rsidRPr="002C437B">
        <w:rPr>
          <w:rFonts w:ascii="Times New Roman" w:eastAsia="Times New Roman" w:hAnsi="Times New Roman" w:cs="Times New Roman"/>
          <w:sz w:val="24"/>
          <w:szCs w:val="24"/>
        </w:rPr>
        <w:t>are</w:t>
      </w:r>
      <w:proofErr w:type="gramEnd"/>
      <w:r w:rsidRPr="002C437B">
        <w:rPr>
          <w:rFonts w:ascii="Times New Roman" w:eastAsia="Times New Roman" w:hAnsi="Times New Roman" w:cs="Times New Roman"/>
          <w:sz w:val="24"/>
          <w:szCs w:val="24"/>
        </w:rPr>
        <w:t xml:space="preserve"> a total of 26 bound water molecules (ηH</w:t>
      </w:r>
      <w:r w:rsidRPr="002C437B">
        <w:rPr>
          <w:rFonts w:ascii="Times New Roman" w:eastAsia="Times New Roman" w:hAnsi="Times New Roman" w:cs="Times New Roman"/>
          <w:sz w:val="24"/>
          <w:szCs w:val="24"/>
          <w:vertAlign w:val="subscript"/>
        </w:rPr>
        <w:t>2</w:t>
      </w:r>
      <w:r w:rsidRPr="002C437B">
        <w:rPr>
          <w:rFonts w:ascii="Times New Roman" w:eastAsia="Times New Roman" w:hAnsi="Times New Roman" w:cs="Times New Roman"/>
          <w:sz w:val="24"/>
          <w:szCs w:val="24"/>
        </w:rPr>
        <w:t>O), 50 doubly bridging (μ</w:t>
      </w:r>
      <w:r w:rsidRPr="002C437B">
        <w:rPr>
          <w:rFonts w:ascii="Times New Roman" w:eastAsia="Times New Roman" w:hAnsi="Times New Roman" w:cs="Times New Roman"/>
          <w:sz w:val="24"/>
          <w:szCs w:val="24"/>
          <w:vertAlign w:val="subscript"/>
        </w:rPr>
        <w:t>2</w:t>
      </w:r>
      <w:r w:rsidRPr="002C437B">
        <w:rPr>
          <w:rFonts w:ascii="Times New Roman" w:eastAsia="Times New Roman" w:hAnsi="Times New Roman" w:cs="Times New Roman"/>
          <w:sz w:val="24"/>
          <w:szCs w:val="24"/>
        </w:rPr>
        <w:t>OH) ligands, and 6 triply-bridging μ</w:t>
      </w:r>
      <w:r w:rsidRPr="002C437B">
        <w:rPr>
          <w:rFonts w:ascii="Times New Roman" w:eastAsia="Times New Roman" w:hAnsi="Times New Roman" w:cs="Times New Roman"/>
          <w:sz w:val="24"/>
          <w:szCs w:val="24"/>
          <w:vertAlign w:val="subscript"/>
        </w:rPr>
        <w:t>3</w:t>
      </w:r>
      <w:r w:rsidRPr="002C437B">
        <w:rPr>
          <w:rFonts w:ascii="Times New Roman" w:eastAsia="Times New Roman" w:hAnsi="Times New Roman" w:cs="Times New Roman"/>
          <w:sz w:val="24"/>
          <w:szCs w:val="24"/>
        </w:rPr>
        <w:t>OH ligands. The 26 water molecules can be divided into five groups in order of</w:t>
      </w:r>
    </w:p>
    <w:p w:rsidR="002C437B" w:rsidRPr="002C437B" w:rsidRDefault="002C437B" w:rsidP="002C437B">
      <w:pPr>
        <w:spacing w:before="100" w:beforeAutospacing="1" w:after="100" w:afterAutospacing="1" w:line="240" w:lineRule="auto"/>
        <w:outlineLvl w:val="1"/>
        <w:rPr>
          <w:rFonts w:ascii="Times New Roman" w:eastAsia="Times New Roman" w:hAnsi="Times New Roman" w:cs="Times New Roman"/>
          <w:b/>
          <w:bCs/>
          <w:sz w:val="36"/>
          <w:szCs w:val="36"/>
        </w:rPr>
      </w:pPr>
      <w:r w:rsidRPr="002C437B">
        <w:rPr>
          <w:rFonts w:ascii="Times New Roman" w:eastAsia="Times New Roman" w:hAnsi="Times New Roman" w:cs="Times New Roman"/>
          <w:b/>
          <w:bCs/>
          <w:sz w:val="36"/>
          <w:szCs w:val="36"/>
        </w:rPr>
        <w:t>General Approach</w:t>
      </w:r>
    </w:p>
    <w:p w:rsidR="002C437B" w:rsidRPr="002C437B" w:rsidRDefault="002C437B" w:rsidP="002C437B">
      <w:pPr>
        <w:spacing w:before="100" w:beforeAutospacing="1" w:after="100" w:afterAutospacing="1" w:line="240" w:lineRule="auto"/>
        <w:rPr>
          <w:rFonts w:ascii="Times New Roman" w:eastAsia="Times New Roman" w:hAnsi="Times New Roman" w:cs="Times New Roman"/>
          <w:sz w:val="24"/>
          <w:szCs w:val="24"/>
        </w:rPr>
      </w:pPr>
      <w:r w:rsidRPr="002C437B">
        <w:rPr>
          <w:rFonts w:ascii="Times New Roman" w:eastAsia="Times New Roman" w:hAnsi="Times New Roman" w:cs="Times New Roman"/>
          <w:sz w:val="24"/>
          <w:szCs w:val="24"/>
        </w:rPr>
        <w:t xml:space="preserve">In this work, model </w:t>
      </w:r>
      <w:r w:rsidRPr="002C437B">
        <w:rPr>
          <w:rFonts w:ascii="Times New Roman" w:eastAsia="Times New Roman" w:hAnsi="Times New Roman" w:cs="Times New Roman"/>
          <w:i/>
          <w:iCs/>
          <w:sz w:val="24"/>
          <w:szCs w:val="24"/>
        </w:rPr>
        <w:t>M</w:t>
      </w:r>
      <w:r w:rsidRPr="002C437B">
        <w:rPr>
          <w:rFonts w:ascii="Times New Roman" w:eastAsia="Times New Roman" w:hAnsi="Times New Roman" w:cs="Times New Roman"/>
          <w:sz w:val="24"/>
          <w:szCs w:val="24"/>
          <w:vertAlign w:val="subscript"/>
        </w:rPr>
        <w:t>30</w:t>
      </w:r>
      <w:r w:rsidRPr="002C437B">
        <w:rPr>
          <w:rFonts w:ascii="Times New Roman" w:eastAsia="Times New Roman" w:hAnsi="Times New Roman" w:cs="Times New Roman"/>
          <w:sz w:val="24"/>
          <w:szCs w:val="24"/>
          <w:vertAlign w:val="superscript"/>
        </w:rPr>
        <w:t>18+</w:t>
      </w:r>
      <w:r w:rsidRPr="002C437B">
        <w:rPr>
          <w:rFonts w:ascii="Times New Roman" w:eastAsia="Times New Roman" w:hAnsi="Times New Roman" w:cs="Times New Roman"/>
          <w:sz w:val="24"/>
          <w:szCs w:val="24"/>
        </w:rPr>
        <w:t xml:space="preserve"> and </w:t>
      </w:r>
      <w:r w:rsidRPr="002C437B">
        <w:rPr>
          <w:rFonts w:ascii="Times New Roman" w:eastAsia="Times New Roman" w:hAnsi="Times New Roman" w:cs="Times New Roman"/>
          <w:i/>
          <w:iCs/>
          <w:sz w:val="24"/>
          <w:szCs w:val="24"/>
        </w:rPr>
        <w:t>M</w:t>
      </w:r>
      <w:r w:rsidRPr="002C437B">
        <w:rPr>
          <w:rFonts w:ascii="Times New Roman" w:eastAsia="Times New Roman" w:hAnsi="Times New Roman" w:cs="Times New Roman"/>
          <w:sz w:val="24"/>
          <w:szCs w:val="24"/>
          <w:vertAlign w:val="subscript"/>
        </w:rPr>
        <w:t>13</w:t>
      </w:r>
      <w:r w:rsidRPr="002C437B">
        <w:rPr>
          <w:rFonts w:ascii="Times New Roman" w:eastAsia="Times New Roman" w:hAnsi="Times New Roman" w:cs="Times New Roman"/>
          <w:sz w:val="24"/>
          <w:szCs w:val="24"/>
          <w:vertAlign w:val="superscript"/>
        </w:rPr>
        <w:t>7+</w:t>
      </w:r>
      <w:r w:rsidRPr="002C437B">
        <w:rPr>
          <w:rFonts w:ascii="Times New Roman" w:eastAsia="Times New Roman" w:hAnsi="Times New Roman" w:cs="Times New Roman"/>
          <w:sz w:val="24"/>
          <w:szCs w:val="24"/>
        </w:rPr>
        <w:t xml:space="preserve"> ions are immersed in aqueous solution in the presence of counterions, and the protonation states of each of the functional groups are recorded as a function of the number of hydroxide ions added to the solution. In this way, the relative </w:t>
      </w:r>
      <w:proofErr w:type="spellStart"/>
      <w:r w:rsidRPr="002C437B">
        <w:rPr>
          <w:rFonts w:ascii="Times New Roman" w:eastAsia="Times New Roman" w:hAnsi="Times New Roman" w:cs="Times New Roman"/>
          <w:i/>
          <w:iCs/>
          <w:sz w:val="24"/>
          <w:szCs w:val="24"/>
        </w:rPr>
        <w:t>p</w:t>
      </w:r>
      <w:r w:rsidRPr="002C437B">
        <w:rPr>
          <w:rFonts w:ascii="Times New Roman" w:eastAsia="Times New Roman" w:hAnsi="Times New Roman" w:cs="Times New Roman"/>
          <w:sz w:val="24"/>
          <w:szCs w:val="24"/>
        </w:rPr>
        <w:t>K</w:t>
      </w:r>
      <w:r w:rsidRPr="002C437B">
        <w:rPr>
          <w:rFonts w:ascii="Times New Roman" w:eastAsia="Times New Roman" w:hAnsi="Times New Roman" w:cs="Times New Roman"/>
          <w:sz w:val="24"/>
          <w:szCs w:val="24"/>
          <w:vertAlign w:val="subscript"/>
        </w:rPr>
        <w:t>a</w:t>
      </w:r>
      <w:proofErr w:type="spellEnd"/>
      <w:r w:rsidRPr="002C437B">
        <w:rPr>
          <w:rFonts w:ascii="Times New Roman" w:eastAsia="Times New Roman" w:hAnsi="Times New Roman" w:cs="Times New Roman"/>
          <w:sz w:val="24"/>
          <w:szCs w:val="24"/>
        </w:rPr>
        <w:t xml:space="preserve"> values of the surface functional groups can be estimated. The feasibility of such an approach depends on the kinetics of deprotonation; the system must undergo a sufficient number of proton exchange events to come to</w:t>
      </w:r>
    </w:p>
    <w:p w:rsidR="002C437B" w:rsidRPr="002C437B" w:rsidRDefault="002C437B" w:rsidP="002C437B">
      <w:pPr>
        <w:spacing w:before="100" w:beforeAutospacing="1" w:after="100" w:afterAutospacing="1" w:line="240" w:lineRule="auto"/>
        <w:outlineLvl w:val="1"/>
        <w:rPr>
          <w:rFonts w:ascii="Times New Roman" w:eastAsia="Times New Roman" w:hAnsi="Times New Roman" w:cs="Times New Roman"/>
          <w:b/>
          <w:bCs/>
          <w:sz w:val="36"/>
          <w:szCs w:val="36"/>
        </w:rPr>
      </w:pPr>
      <w:r w:rsidRPr="002C437B">
        <w:rPr>
          <w:rFonts w:ascii="Times New Roman" w:eastAsia="Times New Roman" w:hAnsi="Times New Roman" w:cs="Times New Roman"/>
          <w:b/>
          <w:bCs/>
          <w:sz w:val="36"/>
          <w:szCs w:val="36"/>
        </w:rPr>
        <w:t xml:space="preserve">Solid Hydrate of the </w:t>
      </w:r>
      <w:r w:rsidRPr="002C437B">
        <w:rPr>
          <w:rFonts w:ascii="Times New Roman" w:eastAsia="Times New Roman" w:hAnsi="Times New Roman" w:cs="Times New Roman"/>
          <w:b/>
          <w:bCs/>
          <w:i/>
          <w:iCs/>
          <w:sz w:val="36"/>
          <w:szCs w:val="36"/>
        </w:rPr>
        <w:t>M</w:t>
      </w:r>
      <w:r w:rsidRPr="002C437B">
        <w:rPr>
          <w:rFonts w:ascii="Times New Roman" w:eastAsia="Times New Roman" w:hAnsi="Times New Roman" w:cs="Times New Roman"/>
          <w:b/>
          <w:bCs/>
          <w:sz w:val="36"/>
          <w:szCs w:val="36"/>
          <w:vertAlign w:val="subscript"/>
        </w:rPr>
        <w:t>30</w:t>
      </w:r>
      <w:r w:rsidRPr="002C437B">
        <w:rPr>
          <w:rFonts w:ascii="Times New Roman" w:eastAsia="Times New Roman" w:hAnsi="Times New Roman" w:cs="Times New Roman"/>
          <w:b/>
          <w:bCs/>
          <w:sz w:val="36"/>
          <w:szCs w:val="36"/>
        </w:rPr>
        <w:t xml:space="preserve"> Ion</w:t>
      </w:r>
    </w:p>
    <w:p w:rsidR="002C437B" w:rsidRPr="002C437B" w:rsidRDefault="002C437B" w:rsidP="002C437B">
      <w:pPr>
        <w:spacing w:before="100" w:beforeAutospacing="1" w:after="100" w:afterAutospacing="1" w:line="240" w:lineRule="auto"/>
        <w:rPr>
          <w:rFonts w:ascii="Times New Roman" w:eastAsia="Times New Roman" w:hAnsi="Times New Roman" w:cs="Times New Roman"/>
          <w:sz w:val="24"/>
          <w:szCs w:val="24"/>
        </w:rPr>
      </w:pPr>
      <w:r w:rsidRPr="002C437B">
        <w:rPr>
          <w:rFonts w:ascii="Times New Roman" w:eastAsia="Times New Roman" w:hAnsi="Times New Roman" w:cs="Times New Roman"/>
          <w:sz w:val="24"/>
          <w:szCs w:val="24"/>
        </w:rPr>
        <w:lastRenderedPageBreak/>
        <w:t xml:space="preserve">Calculations were carried out on the solid hydrate salt of the model ion </w:t>
      </w:r>
      <w:r w:rsidRPr="002C437B">
        <w:rPr>
          <w:rFonts w:ascii="Times New Roman" w:eastAsia="Times New Roman" w:hAnsi="Times New Roman" w:cs="Times New Roman"/>
          <w:i/>
          <w:iCs/>
          <w:sz w:val="24"/>
          <w:szCs w:val="24"/>
        </w:rPr>
        <w:t>M</w:t>
      </w:r>
      <w:r w:rsidRPr="002C437B">
        <w:rPr>
          <w:rFonts w:ascii="Times New Roman" w:eastAsia="Times New Roman" w:hAnsi="Times New Roman" w:cs="Times New Roman"/>
          <w:sz w:val="24"/>
          <w:szCs w:val="24"/>
          <w:vertAlign w:val="subscript"/>
        </w:rPr>
        <w:t>30</w:t>
      </w:r>
      <w:r w:rsidRPr="002C437B">
        <w:rPr>
          <w:rFonts w:ascii="Times New Roman" w:eastAsia="Times New Roman" w:hAnsi="Times New Roman" w:cs="Times New Roman"/>
          <w:sz w:val="24"/>
          <w:szCs w:val="24"/>
        </w:rPr>
        <w:t>O</w:t>
      </w:r>
      <w:r w:rsidRPr="002C437B">
        <w:rPr>
          <w:rFonts w:ascii="Times New Roman" w:eastAsia="Times New Roman" w:hAnsi="Times New Roman" w:cs="Times New Roman"/>
          <w:sz w:val="24"/>
          <w:szCs w:val="24"/>
          <w:vertAlign w:val="subscript"/>
        </w:rPr>
        <w:t>8</w:t>
      </w:r>
      <w:r w:rsidRPr="002C437B">
        <w:rPr>
          <w:rFonts w:ascii="Times New Roman" w:eastAsia="Times New Roman" w:hAnsi="Times New Roman" w:cs="Times New Roman"/>
          <w:sz w:val="24"/>
          <w:szCs w:val="24"/>
        </w:rPr>
        <w:t>(OH)</w:t>
      </w:r>
      <w:r w:rsidRPr="002C437B">
        <w:rPr>
          <w:rFonts w:ascii="Times New Roman" w:eastAsia="Times New Roman" w:hAnsi="Times New Roman" w:cs="Times New Roman"/>
          <w:sz w:val="24"/>
          <w:szCs w:val="24"/>
          <w:vertAlign w:val="subscript"/>
        </w:rPr>
        <w:t>56</w:t>
      </w:r>
      <w:r w:rsidRPr="002C437B">
        <w:rPr>
          <w:rFonts w:ascii="Times New Roman" w:eastAsia="Times New Roman" w:hAnsi="Times New Roman" w:cs="Times New Roman"/>
          <w:sz w:val="24"/>
          <w:szCs w:val="24"/>
        </w:rPr>
        <w:t>(H</w:t>
      </w:r>
      <w:r w:rsidRPr="002C437B">
        <w:rPr>
          <w:rFonts w:ascii="Times New Roman" w:eastAsia="Times New Roman" w:hAnsi="Times New Roman" w:cs="Times New Roman"/>
          <w:sz w:val="24"/>
          <w:szCs w:val="24"/>
          <w:vertAlign w:val="subscript"/>
        </w:rPr>
        <w:t>2</w:t>
      </w:r>
      <w:r w:rsidRPr="002C437B">
        <w:rPr>
          <w:rFonts w:ascii="Times New Roman" w:eastAsia="Times New Roman" w:hAnsi="Times New Roman" w:cs="Times New Roman"/>
          <w:sz w:val="24"/>
          <w:szCs w:val="24"/>
        </w:rPr>
        <w:t>O)</w:t>
      </w:r>
      <w:r w:rsidRPr="002C437B">
        <w:rPr>
          <w:rFonts w:ascii="Times New Roman" w:eastAsia="Times New Roman" w:hAnsi="Times New Roman" w:cs="Times New Roman"/>
          <w:sz w:val="24"/>
          <w:szCs w:val="24"/>
          <w:vertAlign w:val="subscript"/>
        </w:rPr>
        <w:t>26</w:t>
      </w:r>
      <w:r w:rsidRPr="002C437B">
        <w:rPr>
          <w:rFonts w:ascii="Times New Roman" w:eastAsia="Times New Roman" w:hAnsi="Times New Roman" w:cs="Times New Roman"/>
          <w:sz w:val="24"/>
          <w:szCs w:val="24"/>
        </w:rPr>
        <w:t>(SO</w:t>
      </w:r>
      <w:r w:rsidRPr="002C437B">
        <w:rPr>
          <w:rFonts w:ascii="Times New Roman" w:eastAsia="Times New Roman" w:hAnsi="Times New Roman" w:cs="Times New Roman"/>
          <w:sz w:val="24"/>
          <w:szCs w:val="24"/>
          <w:vertAlign w:val="subscript"/>
        </w:rPr>
        <w:t>4</w:t>
      </w:r>
      <w:r w:rsidRPr="002C437B">
        <w:rPr>
          <w:rFonts w:ascii="Times New Roman" w:eastAsia="Times New Roman" w:hAnsi="Times New Roman" w:cs="Times New Roman"/>
          <w:sz w:val="24"/>
          <w:szCs w:val="24"/>
        </w:rPr>
        <w:t>)</w:t>
      </w:r>
      <w:r w:rsidRPr="002C437B">
        <w:rPr>
          <w:rFonts w:ascii="Times New Roman" w:eastAsia="Times New Roman" w:hAnsi="Times New Roman" w:cs="Times New Roman"/>
          <w:sz w:val="24"/>
          <w:szCs w:val="24"/>
          <w:vertAlign w:val="subscript"/>
        </w:rPr>
        <w:t>9</w:t>
      </w:r>
      <w:r w:rsidRPr="002C437B">
        <w:rPr>
          <w:rFonts w:ascii="Times New Roman" w:eastAsia="Times New Roman" w:hAnsi="Times New Roman" w:cs="Times New Roman"/>
          <w:sz w:val="24"/>
          <w:szCs w:val="24"/>
        </w:rPr>
        <w:t> · 20H</w:t>
      </w:r>
      <w:r w:rsidRPr="002C437B">
        <w:rPr>
          <w:rFonts w:ascii="Times New Roman" w:eastAsia="Times New Roman" w:hAnsi="Times New Roman" w:cs="Times New Roman"/>
          <w:sz w:val="24"/>
          <w:szCs w:val="24"/>
          <w:vertAlign w:val="subscript"/>
        </w:rPr>
        <w:t>2</w:t>
      </w:r>
      <w:r w:rsidRPr="002C437B">
        <w:rPr>
          <w:rFonts w:ascii="Times New Roman" w:eastAsia="Times New Roman" w:hAnsi="Times New Roman" w:cs="Times New Roman"/>
          <w:sz w:val="24"/>
          <w:szCs w:val="24"/>
        </w:rPr>
        <w:t xml:space="preserve">O, partly as validation of the force field and also to provide a set of </w:t>
      </w:r>
      <w:r w:rsidRPr="002C437B">
        <w:rPr>
          <w:rFonts w:ascii="Times New Roman" w:eastAsia="Times New Roman" w:hAnsi="Times New Roman" w:cs="Times New Roman"/>
          <w:i/>
          <w:iCs/>
          <w:sz w:val="24"/>
          <w:szCs w:val="24"/>
        </w:rPr>
        <w:t>M</w:t>
      </w:r>
      <w:r w:rsidRPr="002C437B">
        <w:rPr>
          <w:rFonts w:ascii="Times New Roman" w:eastAsia="Times New Roman" w:hAnsi="Times New Roman" w:cs="Times New Roman"/>
          <w:sz w:val="24"/>
          <w:szCs w:val="24"/>
        </w:rPr>
        <w:t xml:space="preserve">-O bond lengths for comparison with those calculated for the isolated ion and for the solvated ion. Treatment of the hydrated sodium sulfate salt of the </w:t>
      </w:r>
      <w:r w:rsidRPr="002C437B">
        <w:rPr>
          <w:rFonts w:ascii="Times New Roman" w:eastAsia="Times New Roman" w:hAnsi="Times New Roman" w:cs="Times New Roman"/>
          <w:i/>
          <w:iCs/>
          <w:sz w:val="24"/>
          <w:szCs w:val="24"/>
        </w:rPr>
        <w:t>M</w:t>
      </w:r>
      <w:r w:rsidRPr="002C437B">
        <w:rPr>
          <w:rFonts w:ascii="Times New Roman" w:eastAsia="Times New Roman" w:hAnsi="Times New Roman" w:cs="Times New Roman"/>
          <w:sz w:val="24"/>
          <w:szCs w:val="24"/>
          <w:vertAlign w:val="subscript"/>
        </w:rPr>
        <w:t>13</w:t>
      </w:r>
      <w:r w:rsidRPr="002C437B">
        <w:rPr>
          <w:rFonts w:ascii="Times New Roman" w:eastAsia="Times New Roman" w:hAnsi="Times New Roman" w:cs="Times New Roman"/>
          <w:sz w:val="24"/>
          <w:szCs w:val="24"/>
        </w:rPr>
        <w:t xml:space="preserve"> ion is left for future work because of the complications associated with the Na</w:t>
      </w:r>
      <w:r w:rsidRPr="002C437B">
        <w:rPr>
          <w:rFonts w:ascii="Times New Roman" w:eastAsia="Times New Roman" w:hAnsi="Times New Roman" w:cs="Times New Roman"/>
          <w:sz w:val="24"/>
          <w:szCs w:val="24"/>
          <w:vertAlign w:val="superscript"/>
        </w:rPr>
        <w:t>+</w:t>
      </w:r>
      <w:r w:rsidRPr="002C437B">
        <w:rPr>
          <w:rFonts w:ascii="Times New Roman" w:eastAsia="Times New Roman" w:hAnsi="Times New Roman" w:cs="Times New Roman"/>
          <w:sz w:val="24"/>
          <w:szCs w:val="24"/>
        </w:rPr>
        <w:t xml:space="preserve"> ion disorder (O’Neil-Parker et al., 1997). The “sulfate” ion uses the same parameters</w:t>
      </w:r>
    </w:p>
    <w:p w:rsidR="002C437B" w:rsidRPr="002C437B" w:rsidRDefault="002C437B" w:rsidP="002C437B">
      <w:pPr>
        <w:spacing w:before="100" w:beforeAutospacing="1" w:after="100" w:afterAutospacing="1" w:line="240" w:lineRule="auto"/>
        <w:outlineLvl w:val="1"/>
        <w:rPr>
          <w:rFonts w:ascii="Times New Roman" w:eastAsia="Times New Roman" w:hAnsi="Times New Roman" w:cs="Times New Roman"/>
          <w:b/>
          <w:bCs/>
          <w:sz w:val="36"/>
          <w:szCs w:val="36"/>
        </w:rPr>
      </w:pPr>
      <w:r w:rsidRPr="002C437B">
        <w:rPr>
          <w:rFonts w:ascii="Times New Roman" w:eastAsia="Times New Roman" w:hAnsi="Times New Roman" w:cs="Times New Roman"/>
          <w:b/>
          <w:bCs/>
          <w:sz w:val="36"/>
          <w:szCs w:val="36"/>
        </w:rPr>
        <w:t>Coordination of Surface Oxygens</w:t>
      </w:r>
    </w:p>
    <w:p w:rsidR="002C437B" w:rsidRPr="002C437B" w:rsidRDefault="002C437B" w:rsidP="002C437B">
      <w:pPr>
        <w:spacing w:before="100" w:beforeAutospacing="1" w:after="100" w:afterAutospacing="1" w:line="240" w:lineRule="auto"/>
        <w:rPr>
          <w:rFonts w:ascii="Times New Roman" w:eastAsia="Times New Roman" w:hAnsi="Times New Roman" w:cs="Times New Roman"/>
          <w:sz w:val="24"/>
          <w:szCs w:val="24"/>
        </w:rPr>
      </w:pPr>
      <w:r w:rsidRPr="002C437B">
        <w:rPr>
          <w:rFonts w:ascii="Times New Roman" w:eastAsia="Times New Roman" w:hAnsi="Times New Roman" w:cs="Times New Roman"/>
          <w:sz w:val="24"/>
          <w:szCs w:val="24"/>
        </w:rPr>
        <w:t xml:space="preserve">The only general way, at present, to estimate site-specific acidities of surface functional groups is the </w:t>
      </w:r>
      <w:proofErr w:type="spellStart"/>
      <w:r w:rsidRPr="002C437B">
        <w:rPr>
          <w:rFonts w:ascii="Times New Roman" w:eastAsia="Times New Roman" w:hAnsi="Times New Roman" w:cs="Times New Roman"/>
          <w:sz w:val="24"/>
          <w:szCs w:val="24"/>
        </w:rPr>
        <w:t>MuSiC</w:t>
      </w:r>
      <w:proofErr w:type="spellEnd"/>
      <w:r w:rsidRPr="002C437B">
        <w:rPr>
          <w:rFonts w:ascii="Times New Roman" w:eastAsia="Times New Roman" w:hAnsi="Times New Roman" w:cs="Times New Roman"/>
          <w:sz w:val="24"/>
          <w:szCs w:val="24"/>
        </w:rPr>
        <w:t xml:space="preserve"> model (</w:t>
      </w:r>
      <w:proofErr w:type="spellStart"/>
      <w:r w:rsidRPr="002C437B">
        <w:rPr>
          <w:rFonts w:ascii="Times New Roman" w:eastAsia="Times New Roman" w:hAnsi="Times New Roman" w:cs="Times New Roman"/>
          <w:sz w:val="24"/>
          <w:szCs w:val="24"/>
        </w:rPr>
        <w:t>Hiemstra</w:t>
      </w:r>
      <w:proofErr w:type="spellEnd"/>
      <w:r w:rsidRPr="002C437B">
        <w:rPr>
          <w:rFonts w:ascii="Times New Roman" w:eastAsia="Times New Roman" w:hAnsi="Times New Roman" w:cs="Times New Roman"/>
          <w:sz w:val="24"/>
          <w:szCs w:val="24"/>
        </w:rPr>
        <w:t xml:space="preserve"> et al., 1989), later revised (</w:t>
      </w:r>
      <w:proofErr w:type="spellStart"/>
      <w:r w:rsidRPr="002C437B">
        <w:rPr>
          <w:rFonts w:ascii="Times New Roman" w:eastAsia="Times New Roman" w:hAnsi="Times New Roman" w:cs="Times New Roman"/>
          <w:sz w:val="24"/>
          <w:szCs w:val="24"/>
        </w:rPr>
        <w:t>Hiemstra</w:t>
      </w:r>
      <w:proofErr w:type="spellEnd"/>
      <w:r w:rsidRPr="002C437B">
        <w:rPr>
          <w:rFonts w:ascii="Times New Roman" w:eastAsia="Times New Roman" w:hAnsi="Times New Roman" w:cs="Times New Roman"/>
          <w:sz w:val="24"/>
          <w:szCs w:val="24"/>
        </w:rPr>
        <w:t xml:space="preserve"> et al., 1996). It thus forms an important foundation for the following discussion. The most obvious structural control on reactivity is the bond order (i.e., number of attached metals). In the original </w:t>
      </w:r>
      <w:proofErr w:type="spellStart"/>
      <w:r w:rsidRPr="002C437B">
        <w:rPr>
          <w:rFonts w:ascii="Times New Roman" w:eastAsia="Times New Roman" w:hAnsi="Times New Roman" w:cs="Times New Roman"/>
          <w:sz w:val="24"/>
          <w:szCs w:val="24"/>
        </w:rPr>
        <w:t>MuSiC</w:t>
      </w:r>
      <w:proofErr w:type="spellEnd"/>
      <w:r w:rsidRPr="002C437B">
        <w:rPr>
          <w:rFonts w:ascii="Times New Roman" w:eastAsia="Times New Roman" w:hAnsi="Times New Roman" w:cs="Times New Roman"/>
          <w:sz w:val="24"/>
          <w:szCs w:val="24"/>
        </w:rPr>
        <w:t xml:space="preserve"> model of </w:t>
      </w:r>
      <w:proofErr w:type="spellStart"/>
      <w:r w:rsidRPr="002C437B">
        <w:rPr>
          <w:rFonts w:ascii="Times New Roman" w:eastAsia="Times New Roman" w:hAnsi="Times New Roman" w:cs="Times New Roman"/>
          <w:sz w:val="24"/>
          <w:szCs w:val="24"/>
        </w:rPr>
        <w:t>Hiemstra</w:t>
      </w:r>
      <w:proofErr w:type="spellEnd"/>
      <w:r w:rsidRPr="002C437B">
        <w:rPr>
          <w:rFonts w:ascii="Times New Roman" w:eastAsia="Times New Roman" w:hAnsi="Times New Roman" w:cs="Times New Roman"/>
          <w:sz w:val="24"/>
          <w:szCs w:val="24"/>
        </w:rPr>
        <w:t xml:space="preserve"> et al. (1989), the sum of the Pauling bond strengths into the oxide functional group determines its</w:t>
      </w:r>
    </w:p>
    <w:p w:rsidR="002C437B" w:rsidRPr="002C437B" w:rsidRDefault="002C437B" w:rsidP="002C437B">
      <w:pPr>
        <w:spacing w:before="100" w:beforeAutospacing="1" w:after="100" w:afterAutospacing="1" w:line="240" w:lineRule="auto"/>
        <w:outlineLvl w:val="1"/>
        <w:rPr>
          <w:rFonts w:ascii="Times New Roman" w:eastAsia="Times New Roman" w:hAnsi="Times New Roman" w:cs="Times New Roman"/>
          <w:b/>
          <w:bCs/>
          <w:sz w:val="36"/>
          <w:szCs w:val="36"/>
        </w:rPr>
      </w:pPr>
      <w:r w:rsidRPr="002C437B">
        <w:rPr>
          <w:rFonts w:ascii="Times New Roman" w:eastAsia="Times New Roman" w:hAnsi="Times New Roman" w:cs="Times New Roman"/>
          <w:b/>
          <w:bCs/>
          <w:sz w:val="36"/>
          <w:szCs w:val="36"/>
        </w:rPr>
        <w:t>Concluding remarks</w:t>
      </w:r>
    </w:p>
    <w:p w:rsidR="002C437B" w:rsidRPr="002C437B" w:rsidRDefault="002C437B" w:rsidP="002C437B">
      <w:pPr>
        <w:spacing w:before="100" w:beforeAutospacing="1" w:after="100" w:afterAutospacing="1" w:line="240" w:lineRule="auto"/>
        <w:rPr>
          <w:rFonts w:ascii="Times New Roman" w:eastAsia="Times New Roman" w:hAnsi="Times New Roman" w:cs="Times New Roman"/>
          <w:sz w:val="24"/>
          <w:szCs w:val="24"/>
        </w:rPr>
      </w:pPr>
      <w:r w:rsidRPr="002C437B">
        <w:rPr>
          <w:rFonts w:ascii="Times New Roman" w:eastAsia="Times New Roman" w:hAnsi="Times New Roman" w:cs="Times New Roman"/>
          <w:sz w:val="24"/>
          <w:szCs w:val="24"/>
        </w:rPr>
        <w:t xml:space="preserve">This paper has drawn on solid-state, solution, and gas-phase calculations to understand the acid-base chemistry of a model </w:t>
      </w:r>
      <w:r w:rsidRPr="002C437B">
        <w:rPr>
          <w:rFonts w:ascii="Times New Roman" w:eastAsia="Times New Roman" w:hAnsi="Times New Roman" w:cs="Times New Roman"/>
          <w:i/>
          <w:iCs/>
          <w:sz w:val="24"/>
          <w:szCs w:val="24"/>
        </w:rPr>
        <w:t>M</w:t>
      </w:r>
      <w:r w:rsidRPr="002C437B">
        <w:rPr>
          <w:rFonts w:ascii="Times New Roman" w:eastAsia="Times New Roman" w:hAnsi="Times New Roman" w:cs="Times New Roman"/>
          <w:sz w:val="24"/>
          <w:szCs w:val="24"/>
          <w:vertAlign w:val="subscript"/>
        </w:rPr>
        <w:t>30</w:t>
      </w:r>
      <w:r w:rsidRPr="002C437B">
        <w:rPr>
          <w:rFonts w:ascii="Times New Roman" w:eastAsia="Times New Roman" w:hAnsi="Times New Roman" w:cs="Times New Roman"/>
          <w:sz w:val="24"/>
          <w:szCs w:val="24"/>
        </w:rPr>
        <w:t xml:space="preserve"> and </w:t>
      </w:r>
      <w:r w:rsidRPr="002C437B">
        <w:rPr>
          <w:rFonts w:ascii="Times New Roman" w:eastAsia="Times New Roman" w:hAnsi="Times New Roman" w:cs="Times New Roman"/>
          <w:i/>
          <w:iCs/>
          <w:sz w:val="24"/>
          <w:szCs w:val="24"/>
        </w:rPr>
        <w:t>M</w:t>
      </w:r>
      <w:r w:rsidRPr="002C437B">
        <w:rPr>
          <w:rFonts w:ascii="Times New Roman" w:eastAsia="Times New Roman" w:hAnsi="Times New Roman" w:cs="Times New Roman"/>
          <w:sz w:val="24"/>
          <w:szCs w:val="24"/>
          <w:vertAlign w:val="subscript"/>
        </w:rPr>
        <w:t>13</w:t>
      </w:r>
      <w:r w:rsidRPr="002C437B">
        <w:rPr>
          <w:rFonts w:ascii="Times New Roman" w:eastAsia="Times New Roman" w:hAnsi="Times New Roman" w:cs="Times New Roman"/>
          <w:sz w:val="24"/>
          <w:szCs w:val="24"/>
        </w:rPr>
        <w:t xml:space="preserve"> </w:t>
      </w:r>
      <w:proofErr w:type="spellStart"/>
      <w:r w:rsidRPr="002C437B">
        <w:rPr>
          <w:rFonts w:ascii="Times New Roman" w:eastAsia="Times New Roman" w:hAnsi="Times New Roman" w:cs="Times New Roman"/>
          <w:sz w:val="24"/>
          <w:szCs w:val="24"/>
        </w:rPr>
        <w:t>polyoxocation</w:t>
      </w:r>
      <w:proofErr w:type="spellEnd"/>
      <w:r w:rsidRPr="002C437B">
        <w:rPr>
          <w:rFonts w:ascii="Times New Roman" w:eastAsia="Times New Roman" w:hAnsi="Times New Roman" w:cs="Times New Roman"/>
          <w:sz w:val="24"/>
          <w:szCs w:val="24"/>
        </w:rPr>
        <w:t xml:space="preserve">. Intrinsic characteristics (such as the coordination, </w:t>
      </w:r>
      <w:r w:rsidRPr="002C437B">
        <w:rPr>
          <w:rFonts w:ascii="Times New Roman" w:eastAsia="Times New Roman" w:hAnsi="Times New Roman" w:cs="Times New Roman"/>
          <w:i/>
          <w:iCs/>
          <w:sz w:val="24"/>
          <w:szCs w:val="24"/>
        </w:rPr>
        <w:t>M</w:t>
      </w:r>
      <w:r w:rsidRPr="002C437B">
        <w:rPr>
          <w:rFonts w:ascii="Times New Roman" w:eastAsia="Times New Roman" w:hAnsi="Times New Roman" w:cs="Times New Roman"/>
          <w:sz w:val="24"/>
          <w:szCs w:val="24"/>
        </w:rPr>
        <w:t xml:space="preserve">-O bond lengths, hydration, and mutual arrangements of surface functional groups), solvation, and counterion distribution all appear to make important contributions to the overall reactivity of the model system. In the absence of a detailed molecular understanding and molecular model of a given </w:t>
      </w:r>
    </w:p>
    <w:p w:rsidR="002C437B" w:rsidRPr="002C437B" w:rsidRDefault="002C437B" w:rsidP="002C437B">
      <w:pPr>
        <w:spacing w:before="100" w:beforeAutospacing="1" w:after="100" w:afterAutospacing="1" w:line="240" w:lineRule="auto"/>
        <w:outlineLvl w:val="1"/>
        <w:rPr>
          <w:rFonts w:ascii="Times New Roman" w:eastAsia="Times New Roman" w:hAnsi="Times New Roman" w:cs="Times New Roman"/>
          <w:b/>
          <w:bCs/>
          <w:sz w:val="36"/>
          <w:szCs w:val="36"/>
        </w:rPr>
      </w:pPr>
      <w:r w:rsidRPr="002C437B">
        <w:rPr>
          <w:rFonts w:ascii="Times New Roman" w:eastAsia="Times New Roman" w:hAnsi="Times New Roman" w:cs="Times New Roman"/>
          <w:b/>
          <w:bCs/>
          <w:sz w:val="36"/>
          <w:szCs w:val="36"/>
        </w:rPr>
        <w:t>Acknowledgments</w:t>
      </w:r>
    </w:p>
    <w:p w:rsidR="002C437B" w:rsidRPr="002C437B" w:rsidRDefault="002C437B" w:rsidP="002C437B">
      <w:pPr>
        <w:spacing w:before="100" w:beforeAutospacing="1" w:after="100" w:afterAutospacing="1" w:line="240" w:lineRule="auto"/>
        <w:rPr>
          <w:rFonts w:ascii="Times New Roman" w:eastAsia="Times New Roman" w:hAnsi="Times New Roman" w:cs="Times New Roman"/>
          <w:sz w:val="24"/>
          <w:szCs w:val="24"/>
        </w:rPr>
      </w:pPr>
      <w:r w:rsidRPr="002C437B">
        <w:rPr>
          <w:rFonts w:ascii="Times New Roman" w:eastAsia="Times New Roman" w:hAnsi="Times New Roman" w:cs="Times New Roman"/>
          <w:sz w:val="24"/>
          <w:szCs w:val="24"/>
        </w:rPr>
        <w:t xml:space="preserve">The author is grateful to G. </w:t>
      </w:r>
      <w:proofErr w:type="spellStart"/>
      <w:r w:rsidRPr="002C437B">
        <w:rPr>
          <w:rFonts w:ascii="Times New Roman" w:eastAsia="Times New Roman" w:hAnsi="Times New Roman" w:cs="Times New Roman"/>
          <w:sz w:val="24"/>
          <w:szCs w:val="24"/>
        </w:rPr>
        <w:t>Furrer</w:t>
      </w:r>
      <w:proofErr w:type="spellEnd"/>
      <w:r w:rsidRPr="002C437B">
        <w:rPr>
          <w:rFonts w:ascii="Times New Roman" w:eastAsia="Times New Roman" w:hAnsi="Times New Roman" w:cs="Times New Roman"/>
          <w:sz w:val="24"/>
          <w:szCs w:val="24"/>
        </w:rPr>
        <w:t xml:space="preserve"> for making his titration data on the Al</w:t>
      </w:r>
      <w:r w:rsidRPr="002C437B">
        <w:rPr>
          <w:rFonts w:ascii="Times New Roman" w:eastAsia="Times New Roman" w:hAnsi="Times New Roman" w:cs="Times New Roman"/>
          <w:sz w:val="24"/>
          <w:szCs w:val="24"/>
          <w:vertAlign w:val="subscript"/>
        </w:rPr>
        <w:t>30</w:t>
      </w:r>
      <w:r w:rsidRPr="002C437B">
        <w:rPr>
          <w:rFonts w:ascii="Times New Roman" w:eastAsia="Times New Roman" w:hAnsi="Times New Roman" w:cs="Times New Roman"/>
          <w:sz w:val="24"/>
          <w:szCs w:val="24"/>
        </w:rPr>
        <w:t xml:space="preserve"> ion available before publication. The author thanks W. H. Casey, J. S. Loring, and A. R. </w:t>
      </w:r>
      <w:proofErr w:type="spellStart"/>
      <w:r w:rsidRPr="002C437B">
        <w:rPr>
          <w:rFonts w:ascii="Times New Roman" w:eastAsia="Times New Roman" w:hAnsi="Times New Roman" w:cs="Times New Roman"/>
          <w:sz w:val="24"/>
          <w:szCs w:val="24"/>
        </w:rPr>
        <w:t>Felmy</w:t>
      </w:r>
      <w:proofErr w:type="spellEnd"/>
      <w:r w:rsidRPr="002C437B">
        <w:rPr>
          <w:rFonts w:ascii="Times New Roman" w:eastAsia="Times New Roman" w:hAnsi="Times New Roman" w:cs="Times New Roman"/>
          <w:sz w:val="24"/>
          <w:szCs w:val="24"/>
        </w:rPr>
        <w:t xml:space="preserve"> for interesting discussions associated with the manuscript. The comments of three anonymous reviewers and, particularly, comments from the associate editor, Mike </w:t>
      </w:r>
      <w:proofErr w:type="spellStart"/>
      <w:r w:rsidRPr="002C437B">
        <w:rPr>
          <w:rFonts w:ascii="Times New Roman" w:eastAsia="Times New Roman" w:hAnsi="Times New Roman" w:cs="Times New Roman"/>
          <w:sz w:val="24"/>
          <w:szCs w:val="24"/>
        </w:rPr>
        <w:t>Machesky</w:t>
      </w:r>
      <w:proofErr w:type="spellEnd"/>
      <w:r w:rsidRPr="002C437B">
        <w:rPr>
          <w:rFonts w:ascii="Times New Roman" w:eastAsia="Times New Roman" w:hAnsi="Times New Roman" w:cs="Times New Roman"/>
          <w:sz w:val="24"/>
          <w:szCs w:val="24"/>
        </w:rPr>
        <w:t xml:space="preserve">, were key to improving the clarity and accuracy of the manuscript. Support was provided by the Office of Basic Energy Sciences Geosciences Research Program </w:t>
      </w:r>
    </w:p>
    <w:p w:rsidR="00D90D13" w:rsidRDefault="00D90D13"/>
    <w:sectPr w:rsidR="00D90D13">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C437B"/>
    <w:rsid w:val="002C437B"/>
    <w:rsid w:val="00D90D1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B14253"/>
  <w15:chartTrackingRefBased/>
  <w15:docId w15:val="{2EFC5A74-3AB9-45F5-9F56-697AC72141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119027638">
      <w:bodyDiv w:val="1"/>
      <w:marLeft w:val="0"/>
      <w:marRight w:val="0"/>
      <w:marTop w:val="0"/>
      <w:marBottom w:val="0"/>
      <w:divBdr>
        <w:top w:val="none" w:sz="0" w:space="0" w:color="auto"/>
        <w:left w:val="none" w:sz="0" w:space="0" w:color="auto"/>
        <w:bottom w:val="none" w:sz="0" w:space="0" w:color="auto"/>
        <w:right w:val="none" w:sz="0" w:space="0" w:color="auto"/>
      </w:divBdr>
      <w:divsChild>
        <w:div w:id="1996957287">
          <w:marLeft w:val="0"/>
          <w:marRight w:val="0"/>
          <w:marTop w:val="0"/>
          <w:marBottom w:val="0"/>
          <w:divBdr>
            <w:top w:val="none" w:sz="0" w:space="0" w:color="auto"/>
            <w:left w:val="none" w:sz="0" w:space="0" w:color="auto"/>
            <w:bottom w:val="none" w:sz="0" w:space="0" w:color="auto"/>
            <w:right w:val="none" w:sz="0" w:space="0" w:color="auto"/>
          </w:divBdr>
          <w:divsChild>
            <w:div w:id="1368288287">
              <w:marLeft w:val="0"/>
              <w:marRight w:val="0"/>
              <w:marTop w:val="0"/>
              <w:marBottom w:val="0"/>
              <w:divBdr>
                <w:top w:val="none" w:sz="0" w:space="0" w:color="auto"/>
                <w:left w:val="none" w:sz="0" w:space="0" w:color="auto"/>
                <w:bottom w:val="none" w:sz="0" w:space="0" w:color="auto"/>
                <w:right w:val="none" w:sz="0" w:space="0" w:color="auto"/>
              </w:divBdr>
              <w:divsChild>
                <w:div w:id="1541170108">
                  <w:marLeft w:val="0"/>
                  <w:marRight w:val="0"/>
                  <w:marTop w:val="0"/>
                  <w:marBottom w:val="0"/>
                  <w:divBdr>
                    <w:top w:val="none" w:sz="0" w:space="0" w:color="auto"/>
                    <w:left w:val="none" w:sz="0" w:space="0" w:color="auto"/>
                    <w:bottom w:val="none" w:sz="0" w:space="0" w:color="auto"/>
                    <w:right w:val="none" w:sz="0" w:space="0" w:color="auto"/>
                  </w:divBdr>
                  <w:divsChild>
                    <w:div w:id="1574775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3169137">
          <w:marLeft w:val="0"/>
          <w:marRight w:val="0"/>
          <w:marTop w:val="0"/>
          <w:marBottom w:val="0"/>
          <w:divBdr>
            <w:top w:val="none" w:sz="0" w:space="0" w:color="auto"/>
            <w:left w:val="none" w:sz="0" w:space="0" w:color="auto"/>
            <w:bottom w:val="none" w:sz="0" w:space="0" w:color="auto"/>
            <w:right w:val="none" w:sz="0" w:space="0" w:color="auto"/>
          </w:divBdr>
          <w:divsChild>
            <w:div w:id="1475677593">
              <w:marLeft w:val="0"/>
              <w:marRight w:val="0"/>
              <w:marTop w:val="0"/>
              <w:marBottom w:val="0"/>
              <w:divBdr>
                <w:top w:val="none" w:sz="0" w:space="0" w:color="auto"/>
                <w:left w:val="none" w:sz="0" w:space="0" w:color="auto"/>
                <w:bottom w:val="none" w:sz="0" w:space="0" w:color="auto"/>
                <w:right w:val="none" w:sz="0" w:space="0" w:color="auto"/>
              </w:divBdr>
              <w:divsChild>
                <w:div w:id="1314021261">
                  <w:marLeft w:val="0"/>
                  <w:marRight w:val="0"/>
                  <w:marTop w:val="0"/>
                  <w:marBottom w:val="0"/>
                  <w:divBdr>
                    <w:top w:val="none" w:sz="0" w:space="0" w:color="auto"/>
                    <w:left w:val="none" w:sz="0" w:space="0" w:color="auto"/>
                    <w:bottom w:val="none" w:sz="0" w:space="0" w:color="auto"/>
                    <w:right w:val="none" w:sz="0" w:space="0" w:color="auto"/>
                  </w:divBdr>
                  <w:divsChild>
                    <w:div w:id="1377463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6720678">
          <w:marLeft w:val="0"/>
          <w:marRight w:val="0"/>
          <w:marTop w:val="0"/>
          <w:marBottom w:val="0"/>
          <w:divBdr>
            <w:top w:val="none" w:sz="0" w:space="0" w:color="auto"/>
            <w:left w:val="none" w:sz="0" w:space="0" w:color="auto"/>
            <w:bottom w:val="none" w:sz="0" w:space="0" w:color="auto"/>
            <w:right w:val="none" w:sz="0" w:space="0" w:color="auto"/>
          </w:divBdr>
          <w:divsChild>
            <w:div w:id="622733225">
              <w:marLeft w:val="0"/>
              <w:marRight w:val="0"/>
              <w:marTop w:val="0"/>
              <w:marBottom w:val="0"/>
              <w:divBdr>
                <w:top w:val="none" w:sz="0" w:space="0" w:color="auto"/>
                <w:left w:val="none" w:sz="0" w:space="0" w:color="auto"/>
                <w:bottom w:val="none" w:sz="0" w:space="0" w:color="auto"/>
                <w:right w:val="none" w:sz="0" w:space="0" w:color="auto"/>
              </w:divBdr>
            </w:div>
          </w:divsChild>
        </w:div>
        <w:div w:id="1663387905">
          <w:marLeft w:val="0"/>
          <w:marRight w:val="0"/>
          <w:marTop w:val="0"/>
          <w:marBottom w:val="0"/>
          <w:divBdr>
            <w:top w:val="none" w:sz="0" w:space="0" w:color="auto"/>
            <w:left w:val="none" w:sz="0" w:space="0" w:color="auto"/>
            <w:bottom w:val="none" w:sz="0" w:space="0" w:color="auto"/>
            <w:right w:val="none" w:sz="0" w:space="0" w:color="auto"/>
          </w:divBdr>
          <w:divsChild>
            <w:div w:id="1441220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www.sciencedirect.com/topics/earth-and-planetary-sciences/perchlorate" TargetMode="External"/><Relationship Id="rId4" Type="http://schemas.openxmlformats.org/officeDocument/2006/relationships/hyperlink" Target="https://doi.org/10.1016/j.gca.2005.05.007"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1317</Words>
  <Characters>7511</Characters>
  <Application>Microsoft Office Word</Application>
  <DocSecurity>0</DocSecurity>
  <Lines>62</Lines>
  <Paragraphs>17</Paragraphs>
  <ScaleCrop>false</ScaleCrop>
  <Company/>
  <LinksUpToDate>false</LinksUpToDate>
  <CharactersWithSpaces>8811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2023-11-18T00:50:00Z</dcterms:created>
  <dcterms:modified xsi:type="dcterms:W3CDTF">2023-11-18T00:50:00Z</dcterms:modified>
</cp:coreProperties>
</file>