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A6C61" w:rsidRPr="001A6C61" w:rsidRDefault="001A6C61" w:rsidP="001A6C61">
      <w:pPr>
        <w:rPr>
          <w:lang w:val="en-US"/>
        </w:rPr>
      </w:pPr>
      <w:r w:rsidRPr="001A6C61">
        <w:rPr>
          <w:lang w:val="en-US"/>
        </w:rPr>
        <w:t xml:space="preserve">Winter–spring precipitation as the principal control on predominance of C3 plants in Central Asia over the past 1.77 </w:t>
      </w:r>
      <w:proofErr w:type="spellStart"/>
      <w:r w:rsidRPr="001A6C61">
        <w:rPr>
          <w:lang w:val="en-US"/>
        </w:rPr>
        <w:t>Myr</w:t>
      </w:r>
      <w:proofErr w:type="spellEnd"/>
      <w:r w:rsidRPr="001A6C61">
        <w:rPr>
          <w:lang w:val="en-US"/>
        </w:rPr>
        <w:t xml:space="preserve">: Evidence from </w:t>
      </w:r>
      <w:r>
        <w:t>δ</w:t>
      </w:r>
      <w:r w:rsidRPr="001A6C61">
        <w:rPr>
          <w:lang w:val="en-US"/>
        </w:rPr>
        <w:t>13C of loess organic matter in Tajikistan</w:t>
      </w:r>
    </w:p>
    <w:p w:rsidR="001A6C61" w:rsidRPr="001A6C61" w:rsidRDefault="001A6C61" w:rsidP="001A6C61">
      <w:pPr>
        <w:rPr>
          <w:lang w:val="en-US"/>
        </w:rPr>
      </w:pPr>
      <w:r w:rsidRPr="001A6C61">
        <w:rPr>
          <w:lang w:val="en-US"/>
        </w:rPr>
        <w:t>Author links open overlay panel</w:t>
      </w:r>
      <w:r>
        <w:rPr>
          <w:lang w:val="en-US"/>
        </w:rPr>
        <w:t xml:space="preserve"> </w:t>
      </w:r>
      <w:proofErr w:type="spellStart"/>
      <w:r w:rsidRPr="001A6C61">
        <w:rPr>
          <w:lang w:val="en-US"/>
        </w:rPr>
        <w:t>Shiling</w:t>
      </w:r>
      <w:proofErr w:type="spellEnd"/>
      <w:r w:rsidRPr="001A6C61">
        <w:rPr>
          <w:lang w:val="en-US"/>
        </w:rPr>
        <w:t xml:space="preserve"> Yang</w:t>
      </w:r>
    </w:p>
    <w:p w:rsidR="001A6C61" w:rsidRPr="001A6C61" w:rsidRDefault="001A6C61" w:rsidP="001A6C61">
      <w:pPr>
        <w:rPr>
          <w:lang w:val="en-US"/>
        </w:rPr>
      </w:pPr>
      <w:r w:rsidRPr="001A6C61">
        <w:rPr>
          <w:lang w:val="en-US"/>
        </w:rPr>
        <w:t>, Zhongli Ding</w:t>
      </w:r>
    </w:p>
    <w:p w:rsidR="001A6C61" w:rsidRPr="001A6C61" w:rsidRDefault="001A6C61" w:rsidP="001A6C61">
      <w:pPr>
        <w:rPr>
          <w:lang w:val="en-US"/>
        </w:rPr>
      </w:pPr>
      <w:bookmarkStart w:id="0" w:name="_GoBack"/>
      <w:bookmarkEnd w:id="0"/>
      <w:r w:rsidRPr="001A6C61">
        <w:rPr>
          <w:lang w:val="en-US"/>
        </w:rPr>
        <w:t>Cite</w:t>
      </w:r>
    </w:p>
    <w:p w:rsidR="001A6C61" w:rsidRPr="001A6C61" w:rsidRDefault="001A6C61" w:rsidP="001A6C61">
      <w:pPr>
        <w:rPr>
          <w:lang w:val="en-US"/>
        </w:rPr>
      </w:pPr>
      <w:r w:rsidRPr="001A6C61">
        <w:rPr>
          <w:lang w:val="en-US"/>
        </w:rPr>
        <w:t>https://doi.org/10.1016/j.palaeo.2005.11.007</w:t>
      </w:r>
    </w:p>
    <w:p w:rsidR="001A6C61" w:rsidRPr="001A6C61" w:rsidRDefault="001A6C61" w:rsidP="001A6C61">
      <w:pPr>
        <w:rPr>
          <w:lang w:val="en-US"/>
        </w:rPr>
      </w:pPr>
      <w:r w:rsidRPr="001A6C61">
        <w:rPr>
          <w:lang w:val="en-US"/>
        </w:rPr>
        <w:t>Get rights and content</w:t>
      </w:r>
    </w:p>
    <w:p w:rsidR="001A6C61" w:rsidRPr="001A6C61" w:rsidRDefault="001A6C61" w:rsidP="001A6C61">
      <w:pPr>
        <w:rPr>
          <w:lang w:val="en-US"/>
        </w:rPr>
      </w:pPr>
      <w:r w:rsidRPr="001A6C61">
        <w:rPr>
          <w:lang w:val="en-US"/>
        </w:rPr>
        <w:t>Abstract</w:t>
      </w:r>
    </w:p>
    <w:p w:rsidR="001A6C61" w:rsidRPr="001A6C61" w:rsidRDefault="001A6C61" w:rsidP="001A6C61">
      <w:pPr>
        <w:rPr>
          <w:lang w:val="en-US"/>
        </w:rPr>
      </w:pPr>
      <w:r w:rsidRPr="001A6C61">
        <w:rPr>
          <w:lang w:val="en-US"/>
        </w:rPr>
        <w:t xml:space="preserve">Although changes in atmospheric CO2 levels are thought to be the major factor driving long-term C3/C4 vegetation evolution, recent studies tend to emphasize the effect of regional climate conditions on C3/C4 variations. The middle latitudes (30–45°), in which C3/C4 plants are highly sensitive to environmental changes, provide an optimal basis for the investigation of the relative impacts of climate and pCO2 on shifts in C3/C4 cover. In order to assess the factors controlling these shifts as well as the complex interactions between environmental factors, the carbon isotopic composition of bulk organic matter from the </w:t>
      </w:r>
      <w:proofErr w:type="spellStart"/>
      <w:r w:rsidRPr="001A6C61">
        <w:rPr>
          <w:lang w:val="en-US"/>
        </w:rPr>
        <w:t>Chashmanigar</w:t>
      </w:r>
      <w:proofErr w:type="spellEnd"/>
      <w:r w:rsidRPr="001A6C61">
        <w:rPr>
          <w:lang w:val="en-US"/>
        </w:rPr>
        <w:t xml:space="preserve"> loess section (southern Tajikistan) was measured for the past 1.77 </w:t>
      </w:r>
      <w:proofErr w:type="spellStart"/>
      <w:r w:rsidRPr="001A6C61">
        <w:rPr>
          <w:lang w:val="en-US"/>
        </w:rPr>
        <w:t>Myr</w:t>
      </w:r>
      <w:proofErr w:type="spellEnd"/>
      <w:r w:rsidRPr="001A6C61">
        <w:rPr>
          <w:lang w:val="en-US"/>
        </w:rPr>
        <w:t xml:space="preserve">. In general, the </w:t>
      </w:r>
      <w:r>
        <w:t>δ</w:t>
      </w:r>
      <w:r w:rsidRPr="001A6C61">
        <w:rPr>
          <w:lang w:val="en-US"/>
        </w:rPr>
        <w:t xml:space="preserve">13C record shows mostly negative values throughout the sequence, almost all </w:t>
      </w:r>
      <w:r>
        <w:t>δ</w:t>
      </w:r>
      <w:r w:rsidRPr="001A6C61">
        <w:rPr>
          <w:lang w:val="en-US"/>
        </w:rPr>
        <w:t xml:space="preserve">13C values falling between − 23‰ and − 26‰, indicating a predominance of C3 plants in Central Asia over this time period, despite the presence of numerous glacial–interglacial cycles. From 0.85 </w:t>
      </w:r>
      <w:proofErr w:type="spellStart"/>
      <w:r w:rsidRPr="001A6C61">
        <w:rPr>
          <w:lang w:val="en-US"/>
        </w:rPr>
        <w:t>Myr</w:t>
      </w:r>
      <w:proofErr w:type="spellEnd"/>
      <w:r w:rsidRPr="001A6C61">
        <w:rPr>
          <w:lang w:val="en-US"/>
        </w:rPr>
        <w:t xml:space="preserve"> to the present, the </w:t>
      </w:r>
      <w:r>
        <w:t>δ</w:t>
      </w:r>
      <w:r w:rsidRPr="001A6C61">
        <w:rPr>
          <w:lang w:val="en-US"/>
        </w:rPr>
        <w:t xml:space="preserve">13C values become increasingly positive, reflecting a growing C4 signal. However, this C4 component is not detectable prior to 0.25 </w:t>
      </w:r>
      <w:proofErr w:type="spellStart"/>
      <w:r w:rsidRPr="001A6C61">
        <w:rPr>
          <w:lang w:val="en-US"/>
        </w:rPr>
        <w:t>Myr</w:t>
      </w:r>
      <w:proofErr w:type="spellEnd"/>
      <w:r w:rsidRPr="001A6C61">
        <w:rPr>
          <w:lang w:val="en-US"/>
        </w:rPr>
        <w:t xml:space="preserve">, after which minor peaks are evident at </w:t>
      </w:r>
      <w:r w:rsidRPr="001A6C61">
        <w:rPr>
          <w:rFonts w:ascii="Cambria Math" w:hAnsi="Cambria Math" w:cs="Cambria Math"/>
          <w:lang w:val="en-US"/>
        </w:rPr>
        <w:t>∼</w:t>
      </w:r>
      <w:r w:rsidRPr="001A6C61">
        <w:rPr>
          <w:lang w:val="en-US"/>
        </w:rPr>
        <w:t xml:space="preserve"> 228, </w:t>
      </w:r>
      <w:r w:rsidRPr="001A6C61">
        <w:rPr>
          <w:rFonts w:ascii="Cambria Math" w:hAnsi="Cambria Math" w:cs="Cambria Math"/>
          <w:lang w:val="en-US"/>
        </w:rPr>
        <w:t>∼</w:t>
      </w:r>
      <w:r w:rsidRPr="001A6C61">
        <w:rPr>
          <w:lang w:val="en-US"/>
        </w:rPr>
        <w:t xml:space="preserve"> 171 and </w:t>
      </w:r>
      <w:r w:rsidRPr="001A6C61">
        <w:rPr>
          <w:rFonts w:ascii="Cambria Math" w:hAnsi="Cambria Math" w:cs="Cambria Math"/>
          <w:lang w:val="en-US"/>
        </w:rPr>
        <w:t>∼</w:t>
      </w:r>
      <w:r w:rsidRPr="001A6C61">
        <w:rPr>
          <w:lang w:val="en-US"/>
        </w:rPr>
        <w:t xml:space="preserve"> 18 </w:t>
      </w:r>
      <w:proofErr w:type="spellStart"/>
      <w:r w:rsidRPr="001A6C61">
        <w:rPr>
          <w:lang w:val="en-US"/>
        </w:rPr>
        <w:t>kyr</w:t>
      </w:r>
      <w:proofErr w:type="spellEnd"/>
      <w:r w:rsidRPr="001A6C61">
        <w:rPr>
          <w:lang w:val="en-US"/>
        </w:rPr>
        <w:t xml:space="preserve">. The </w:t>
      </w:r>
      <w:r>
        <w:rPr>
          <w:rFonts w:ascii="Calibri" w:hAnsi="Calibri" w:cs="Calibri"/>
        </w:rPr>
        <w:t>δ</w:t>
      </w:r>
      <w:r w:rsidRPr="001A6C61">
        <w:rPr>
          <w:lang w:val="en-US"/>
        </w:rPr>
        <w:t xml:space="preserve">13C record from </w:t>
      </w:r>
      <w:proofErr w:type="spellStart"/>
      <w:r w:rsidRPr="001A6C61">
        <w:rPr>
          <w:lang w:val="en-US"/>
        </w:rPr>
        <w:t>Chashmanigar</w:t>
      </w:r>
      <w:proofErr w:type="spellEnd"/>
      <w:r w:rsidRPr="001A6C61">
        <w:rPr>
          <w:lang w:val="en-US"/>
        </w:rPr>
        <w:t xml:space="preserve"> indicates that winter</w:t>
      </w:r>
      <w:r w:rsidRPr="001A6C61">
        <w:rPr>
          <w:rFonts w:ascii="Calibri" w:hAnsi="Calibri" w:cs="Calibri"/>
          <w:lang w:val="en-US"/>
        </w:rPr>
        <w:t>–</w:t>
      </w:r>
      <w:r w:rsidRPr="001A6C61">
        <w:rPr>
          <w:lang w:val="en-US"/>
        </w:rPr>
        <w:t xml:space="preserve">spring precipitation, i.e., Mediterranean climatic conditions, have characterized Central Asia throughout the past 1.77 </w:t>
      </w:r>
      <w:proofErr w:type="spellStart"/>
      <w:r w:rsidRPr="001A6C61">
        <w:rPr>
          <w:lang w:val="en-US"/>
        </w:rPr>
        <w:t>Myr</w:t>
      </w:r>
      <w:proofErr w:type="spellEnd"/>
      <w:r w:rsidRPr="001A6C61">
        <w:rPr>
          <w:lang w:val="en-US"/>
        </w:rPr>
        <w:t xml:space="preserve">, leading to the predominance of C3 vegetation. In the context of glacial–interglacial-scale changes in atmospheric CO2, therefore, it is climate rather than pCO2 that controls C3/C4 variations in Asia’s middle latitudes. The gradual increase in the C4 component since 0.85 </w:t>
      </w:r>
      <w:proofErr w:type="spellStart"/>
      <w:r w:rsidRPr="001A6C61">
        <w:rPr>
          <w:lang w:val="en-US"/>
        </w:rPr>
        <w:t>Myr</w:t>
      </w:r>
      <w:proofErr w:type="spellEnd"/>
      <w:r w:rsidRPr="001A6C61">
        <w:rPr>
          <w:lang w:val="en-US"/>
        </w:rPr>
        <w:t xml:space="preserve">, especially the notable peaks after 0.25 </w:t>
      </w:r>
      <w:proofErr w:type="spellStart"/>
      <w:r w:rsidRPr="001A6C61">
        <w:rPr>
          <w:lang w:val="en-US"/>
        </w:rPr>
        <w:t>Myr</w:t>
      </w:r>
      <w:proofErr w:type="spellEnd"/>
      <w:r w:rsidRPr="001A6C61">
        <w:rPr>
          <w:lang w:val="en-US"/>
        </w:rPr>
        <w:t>, may have been caused by an increase in summer precipitation due to an enhanced southward shift of the climate zones.</w:t>
      </w:r>
    </w:p>
    <w:p w:rsidR="001A6C61" w:rsidRPr="001A6C61" w:rsidRDefault="001A6C61" w:rsidP="001A6C61">
      <w:pPr>
        <w:rPr>
          <w:lang w:val="en-US"/>
        </w:rPr>
      </w:pPr>
      <w:r w:rsidRPr="001A6C61">
        <w:rPr>
          <w:lang w:val="en-US"/>
        </w:rPr>
        <w:t>Introduction</w:t>
      </w:r>
    </w:p>
    <w:p w:rsidR="001A6C61" w:rsidRPr="001A6C61" w:rsidRDefault="001A6C61" w:rsidP="001A6C61">
      <w:pPr>
        <w:rPr>
          <w:lang w:val="en-US"/>
        </w:rPr>
      </w:pPr>
      <w:r w:rsidRPr="001A6C61">
        <w:rPr>
          <w:lang w:val="en-US"/>
        </w:rPr>
        <w:t>Plants use two principal biosynthetic pathways to fix carbon, the C3 (Calvin–Benson) and C4 (Hatch–Slack) cycles (</w:t>
      </w:r>
      <w:proofErr w:type="spellStart"/>
      <w:r w:rsidRPr="001A6C61">
        <w:rPr>
          <w:lang w:val="en-US"/>
        </w:rPr>
        <w:t>Deines</w:t>
      </w:r>
      <w:proofErr w:type="spellEnd"/>
      <w:r w:rsidRPr="001A6C61">
        <w:rPr>
          <w:lang w:val="en-US"/>
        </w:rPr>
        <w:t xml:space="preserve">, 1980). The C3 pathway is the most common and the most primitive photosynthetic pathway used by plants and is characterized by an initial CO2 carboxylation to form </w:t>
      </w:r>
      <w:proofErr w:type="spellStart"/>
      <w:r w:rsidRPr="001A6C61">
        <w:rPr>
          <w:lang w:val="en-US"/>
        </w:rPr>
        <w:t>phosphoglyceric</w:t>
      </w:r>
      <w:proofErr w:type="spellEnd"/>
      <w:r w:rsidRPr="001A6C61">
        <w:rPr>
          <w:lang w:val="en-US"/>
        </w:rPr>
        <w:t xml:space="preserve"> acid, a three-carbon acid (</w:t>
      </w:r>
      <w:proofErr w:type="spellStart"/>
      <w:r w:rsidRPr="001A6C61">
        <w:rPr>
          <w:lang w:val="en-US"/>
        </w:rPr>
        <w:t>Deines</w:t>
      </w:r>
      <w:proofErr w:type="spellEnd"/>
      <w:r w:rsidRPr="001A6C61">
        <w:rPr>
          <w:lang w:val="en-US"/>
        </w:rPr>
        <w:t xml:space="preserve">, 1980, O'Leary, 1988, Farquhar et al., 1989). In the C4 pathway, CO2 initially combines with </w:t>
      </w:r>
      <w:proofErr w:type="spellStart"/>
      <w:r w:rsidRPr="001A6C61">
        <w:rPr>
          <w:lang w:val="en-US"/>
        </w:rPr>
        <w:t>phosphoenol</w:t>
      </w:r>
      <w:proofErr w:type="spellEnd"/>
      <w:r w:rsidRPr="001A6C61">
        <w:rPr>
          <w:lang w:val="en-US"/>
        </w:rPr>
        <w:t xml:space="preserve"> pyruvate to form the four-carbon acids malate or aspartic acid, which are translocated to bundle-sheath cells where CO2 is released and used in Calvin cycle reactions (</w:t>
      </w:r>
      <w:proofErr w:type="spellStart"/>
      <w:r w:rsidRPr="001A6C61">
        <w:rPr>
          <w:lang w:val="en-US"/>
        </w:rPr>
        <w:t>Deines</w:t>
      </w:r>
      <w:proofErr w:type="spellEnd"/>
      <w:r w:rsidRPr="001A6C61">
        <w:rPr>
          <w:lang w:val="en-US"/>
        </w:rPr>
        <w:t xml:space="preserve">, 1980, O'Leary, 1988, Farquhar et al., 1989, </w:t>
      </w:r>
      <w:proofErr w:type="spellStart"/>
      <w:r w:rsidRPr="001A6C61">
        <w:rPr>
          <w:lang w:val="en-US"/>
        </w:rPr>
        <w:t>Ehleringer</w:t>
      </w:r>
      <w:proofErr w:type="spellEnd"/>
      <w:r w:rsidRPr="001A6C61">
        <w:rPr>
          <w:lang w:val="en-US"/>
        </w:rPr>
        <w:t xml:space="preserve"> et al., 1991). C3 plants include virtually all trees, most shrubs, herbs and forbs, and cool-season grasses and sedges, while warm-season grasses and sedges are the most abundant C4 plants. The different photosynthetic pathways have different </w:t>
      </w:r>
      <w:r>
        <w:t>δ</w:t>
      </w:r>
      <w:r w:rsidRPr="001A6C61">
        <w:rPr>
          <w:lang w:val="en-US"/>
        </w:rPr>
        <w:t>13C values, averaging about − 27‰ for C3 plants and about − 13‰ for C4 plants (</w:t>
      </w:r>
      <w:proofErr w:type="spellStart"/>
      <w:r w:rsidRPr="001A6C61">
        <w:rPr>
          <w:lang w:val="en-US"/>
        </w:rPr>
        <w:t>Deines</w:t>
      </w:r>
      <w:proofErr w:type="spellEnd"/>
      <w:r w:rsidRPr="001A6C61">
        <w:rPr>
          <w:lang w:val="en-US"/>
        </w:rPr>
        <w:t xml:space="preserve">, 1980, O'Leary, 1988, Farquhar et al., 1989). Soil organic matter preserves this isotope distinction with little or no fractionation (Melillo et al., 1989, </w:t>
      </w:r>
      <w:proofErr w:type="spellStart"/>
      <w:r w:rsidRPr="001A6C61">
        <w:rPr>
          <w:lang w:val="en-US"/>
        </w:rPr>
        <w:t>Cerling</w:t>
      </w:r>
      <w:proofErr w:type="spellEnd"/>
      <w:r w:rsidRPr="001A6C61">
        <w:rPr>
          <w:lang w:val="en-US"/>
        </w:rPr>
        <w:t xml:space="preserve"> et al., 1997). Therefore, the </w:t>
      </w:r>
      <w:r>
        <w:t>δ</w:t>
      </w:r>
      <w:r w:rsidRPr="001A6C61">
        <w:rPr>
          <w:lang w:val="en-US"/>
        </w:rPr>
        <w:t>13C values of soil organic matter can be used to reconstruct the history of C3/C4 vegetation.</w:t>
      </w:r>
    </w:p>
    <w:p w:rsidR="001A6C61" w:rsidRPr="001A6C61" w:rsidRDefault="001A6C61" w:rsidP="001A6C61">
      <w:pPr>
        <w:rPr>
          <w:lang w:val="en-US"/>
        </w:rPr>
      </w:pPr>
      <w:r w:rsidRPr="001A6C61">
        <w:rPr>
          <w:lang w:val="en-US"/>
        </w:rPr>
        <w:t>The C4 photosynthetic pathway represents a modification of C3 metabolism that is most effective at low atmospheric CO2 concentrations, and is thought to be an adaptation to the declining atmospheric CO2 levels in Earth history (</w:t>
      </w:r>
      <w:proofErr w:type="spellStart"/>
      <w:r w:rsidRPr="001A6C61">
        <w:rPr>
          <w:lang w:val="en-US"/>
        </w:rPr>
        <w:t>Ehleringer</w:t>
      </w:r>
      <w:proofErr w:type="spellEnd"/>
      <w:r w:rsidRPr="001A6C61">
        <w:rPr>
          <w:lang w:val="en-US"/>
        </w:rPr>
        <w:t xml:space="preserve"> et al., 1991). Based on this principle, long-term C3/C4 vegetation </w:t>
      </w:r>
      <w:r w:rsidRPr="001A6C61">
        <w:rPr>
          <w:lang w:val="en-US"/>
        </w:rPr>
        <w:lastRenderedPageBreak/>
        <w:t>evolution has been attributed to changes in partial pressure of atmospheric carbon dioxide (pCO2) (</w:t>
      </w:r>
      <w:proofErr w:type="spellStart"/>
      <w:r w:rsidRPr="001A6C61">
        <w:rPr>
          <w:lang w:val="en-US"/>
        </w:rPr>
        <w:t>Cerling</w:t>
      </w:r>
      <w:proofErr w:type="spellEnd"/>
      <w:r w:rsidRPr="001A6C61">
        <w:rPr>
          <w:lang w:val="en-US"/>
        </w:rPr>
        <w:t xml:space="preserve"> et al., 1997). These authors proposed that global expansion of C4 vegetation in the late Miocene were driven by declining pCO2 and that the change from C3 to C4 occurred earlier in tropical regions than in higher latitudes as the threshold for C3 photosynthesis is higher at warmer temperatures. Likewise, glacial–interglacial C3/C4 variations in the late Pleistocene were explained by changes in pCO2 (Street-Perrott et al., 1997, Huang et al., 1999). However, recent studies (</w:t>
      </w:r>
      <w:proofErr w:type="spellStart"/>
      <w:r w:rsidRPr="001A6C61">
        <w:rPr>
          <w:lang w:val="en-US"/>
        </w:rPr>
        <w:t>Muhs</w:t>
      </w:r>
      <w:proofErr w:type="spellEnd"/>
      <w:r w:rsidRPr="001A6C61">
        <w:rPr>
          <w:lang w:val="en-US"/>
        </w:rPr>
        <w:t xml:space="preserve"> et al., 1999, Huang et al., 2001, Gu et al., 2003, Zhang et al., 2003, </w:t>
      </w:r>
      <w:proofErr w:type="spellStart"/>
      <w:r w:rsidRPr="001A6C61">
        <w:rPr>
          <w:lang w:val="en-US"/>
        </w:rPr>
        <w:t>Vidic</w:t>
      </w:r>
      <w:proofErr w:type="spellEnd"/>
      <w:r w:rsidRPr="001A6C61">
        <w:rPr>
          <w:lang w:val="en-US"/>
        </w:rPr>
        <w:t xml:space="preserve"> and </w:t>
      </w:r>
      <w:proofErr w:type="spellStart"/>
      <w:r w:rsidRPr="001A6C61">
        <w:rPr>
          <w:lang w:val="en-US"/>
        </w:rPr>
        <w:t>Montañez</w:t>
      </w:r>
      <w:proofErr w:type="spellEnd"/>
      <w:r w:rsidRPr="001A6C61">
        <w:rPr>
          <w:lang w:val="en-US"/>
        </w:rPr>
        <w:t>, 2004) suggest that regional climate may have exerted an even greater control than pCO2 over the relative abundance of C3 and C4 vegetation. At present, C4 grasses dominate in tropical and subtropical regions, and C3 grasses in higher latitudes and Mediterranean climate zones (Sage et al., 1999). The transition from C3 to C4 dominance occurs in the temperate latitudes between 45° and 30° in both hemispheres (Sage et al., 1999), where C3/C4 plants are highly sensitive to changes in environmental factors. Thus, these intermediate latitudes provide the optimal zone for investigation of the relative impacts of climate and pCO2 on C3/C4 variations.</w:t>
      </w:r>
    </w:p>
    <w:p w:rsidR="001A6C61" w:rsidRPr="001A6C61" w:rsidRDefault="001A6C61" w:rsidP="001A6C61">
      <w:pPr>
        <w:rPr>
          <w:lang w:val="en-US"/>
        </w:rPr>
      </w:pPr>
      <w:r w:rsidRPr="001A6C61">
        <w:rPr>
          <w:lang w:val="en-US"/>
        </w:rPr>
        <w:t xml:space="preserve">Quaternary loess-soil sequences in the middle latitudes are valuable archives of regional C3/C4 evolutionary history (Lin and Liu, 1992, Wang and </w:t>
      </w:r>
      <w:proofErr w:type="spellStart"/>
      <w:r w:rsidRPr="001A6C61">
        <w:rPr>
          <w:lang w:val="en-US"/>
        </w:rPr>
        <w:t>Follmer</w:t>
      </w:r>
      <w:proofErr w:type="spellEnd"/>
      <w:r w:rsidRPr="001A6C61">
        <w:rPr>
          <w:lang w:val="en-US"/>
        </w:rPr>
        <w:t xml:space="preserve">, 1998, </w:t>
      </w:r>
      <w:proofErr w:type="spellStart"/>
      <w:r w:rsidRPr="001A6C61">
        <w:rPr>
          <w:lang w:val="en-US"/>
        </w:rPr>
        <w:t>Muhs</w:t>
      </w:r>
      <w:proofErr w:type="spellEnd"/>
      <w:r w:rsidRPr="001A6C61">
        <w:rPr>
          <w:lang w:val="en-US"/>
        </w:rPr>
        <w:t xml:space="preserve"> et al., 1999, Gu et al., 2003, Zhang et al., 2003, </w:t>
      </w:r>
      <w:proofErr w:type="spellStart"/>
      <w:r w:rsidRPr="001A6C61">
        <w:rPr>
          <w:lang w:val="en-US"/>
        </w:rPr>
        <w:t>Vidic</w:t>
      </w:r>
      <w:proofErr w:type="spellEnd"/>
      <w:r w:rsidRPr="001A6C61">
        <w:rPr>
          <w:lang w:val="en-US"/>
        </w:rPr>
        <w:t xml:space="preserve"> and </w:t>
      </w:r>
      <w:proofErr w:type="spellStart"/>
      <w:r w:rsidRPr="001A6C61">
        <w:rPr>
          <w:lang w:val="en-US"/>
        </w:rPr>
        <w:t>Montañez</w:t>
      </w:r>
      <w:proofErr w:type="spellEnd"/>
      <w:r w:rsidRPr="001A6C61">
        <w:rPr>
          <w:lang w:val="en-US"/>
        </w:rPr>
        <w:t xml:space="preserve">, 2004). These deposits, which document large-scale oscillations between glacial and interglacial conditions during the Pleistocene, allow for assessment of factors controlling C3/C4 changes, as temperature, precipitation and pCO2 vary significantly between </w:t>
      </w:r>
      <w:proofErr w:type="spellStart"/>
      <w:r w:rsidRPr="001A6C61">
        <w:rPr>
          <w:lang w:val="en-US"/>
        </w:rPr>
        <w:t>glacials</w:t>
      </w:r>
      <w:proofErr w:type="spellEnd"/>
      <w:r w:rsidRPr="001A6C61">
        <w:rPr>
          <w:lang w:val="en-US"/>
        </w:rPr>
        <w:t xml:space="preserve"> and </w:t>
      </w:r>
      <w:proofErr w:type="spellStart"/>
      <w:r w:rsidRPr="001A6C61">
        <w:rPr>
          <w:lang w:val="en-US"/>
        </w:rPr>
        <w:t>interglacials</w:t>
      </w:r>
      <w:proofErr w:type="spellEnd"/>
      <w:r w:rsidRPr="001A6C61">
        <w:rPr>
          <w:lang w:val="en-US"/>
        </w:rPr>
        <w:t xml:space="preserve">. The loess sections with the greatest continuity, completeness and temporal range found so far lie in Asia, and specifically in China (Liu, 1985, </w:t>
      </w:r>
      <w:proofErr w:type="spellStart"/>
      <w:r w:rsidRPr="001A6C61">
        <w:rPr>
          <w:lang w:val="en-US"/>
        </w:rPr>
        <w:t>Kukla</w:t>
      </w:r>
      <w:proofErr w:type="spellEnd"/>
      <w:r w:rsidRPr="001A6C61">
        <w:rPr>
          <w:lang w:val="en-US"/>
        </w:rPr>
        <w:t xml:space="preserve">, 1987, </w:t>
      </w:r>
      <w:proofErr w:type="spellStart"/>
      <w:r w:rsidRPr="001A6C61">
        <w:rPr>
          <w:lang w:val="en-US"/>
        </w:rPr>
        <w:t>Kukla</w:t>
      </w:r>
      <w:proofErr w:type="spellEnd"/>
      <w:r w:rsidRPr="001A6C61">
        <w:rPr>
          <w:lang w:val="en-US"/>
        </w:rPr>
        <w:t xml:space="preserve"> and An, 1989, An et al., 1991, Ding et al., 1993, Liu and Ding, 1998) and Tajikistan (</w:t>
      </w:r>
      <w:proofErr w:type="spellStart"/>
      <w:r w:rsidRPr="001A6C61">
        <w:rPr>
          <w:lang w:val="en-US"/>
        </w:rPr>
        <w:t>Dodonov</w:t>
      </w:r>
      <w:proofErr w:type="spellEnd"/>
      <w:r w:rsidRPr="001A6C61">
        <w:rPr>
          <w:lang w:val="en-US"/>
        </w:rPr>
        <w:t xml:space="preserve">, 1991, </w:t>
      </w:r>
      <w:proofErr w:type="spellStart"/>
      <w:r w:rsidRPr="001A6C61">
        <w:rPr>
          <w:lang w:val="en-US"/>
        </w:rPr>
        <w:t>Dodonov</w:t>
      </w:r>
      <w:proofErr w:type="spellEnd"/>
      <w:r w:rsidRPr="001A6C61">
        <w:rPr>
          <w:lang w:val="en-US"/>
        </w:rPr>
        <w:t xml:space="preserve"> and </w:t>
      </w:r>
      <w:proofErr w:type="spellStart"/>
      <w:r w:rsidRPr="001A6C61">
        <w:rPr>
          <w:lang w:val="en-US"/>
        </w:rPr>
        <w:t>Baiguzina</w:t>
      </w:r>
      <w:proofErr w:type="spellEnd"/>
      <w:r w:rsidRPr="001A6C61">
        <w:rPr>
          <w:lang w:val="en-US"/>
        </w:rPr>
        <w:t xml:space="preserve">, 1995, Ding et al., 2002). Recent studies of Chinese loess (Gu et al., 2003, Zhang et al., 2003, </w:t>
      </w:r>
      <w:proofErr w:type="spellStart"/>
      <w:r w:rsidRPr="001A6C61">
        <w:rPr>
          <w:lang w:val="en-US"/>
        </w:rPr>
        <w:t>Vidic</w:t>
      </w:r>
      <w:proofErr w:type="spellEnd"/>
      <w:r w:rsidRPr="001A6C61">
        <w:rPr>
          <w:lang w:val="en-US"/>
        </w:rPr>
        <w:t xml:space="preserve"> and </w:t>
      </w:r>
      <w:proofErr w:type="spellStart"/>
      <w:r w:rsidRPr="001A6C61">
        <w:rPr>
          <w:lang w:val="en-US"/>
        </w:rPr>
        <w:t>Montañez</w:t>
      </w:r>
      <w:proofErr w:type="spellEnd"/>
      <w:r w:rsidRPr="001A6C61">
        <w:rPr>
          <w:lang w:val="en-US"/>
        </w:rPr>
        <w:t>, 2004) suggest that regional climate, especially temperature, control C3/C4 variations. However, Tajikistan's C3/C4 evolution and the factors that controlled it remain unknown.</w:t>
      </w:r>
    </w:p>
    <w:p w:rsidR="001A6C61" w:rsidRPr="001A6C61" w:rsidRDefault="001A6C61" w:rsidP="001A6C61">
      <w:pPr>
        <w:rPr>
          <w:lang w:val="en-US"/>
        </w:rPr>
      </w:pPr>
      <w:r w:rsidRPr="001A6C61">
        <w:rPr>
          <w:lang w:val="en-US"/>
        </w:rPr>
        <w:t xml:space="preserve">In Asia, arid and semi-arid environments dominate the middle latitudes, as in the Mu Us, Badain </w:t>
      </w:r>
      <w:proofErr w:type="spellStart"/>
      <w:r w:rsidRPr="001A6C61">
        <w:rPr>
          <w:lang w:val="en-US"/>
        </w:rPr>
        <w:t>Jaran</w:t>
      </w:r>
      <w:proofErr w:type="spellEnd"/>
      <w:r w:rsidRPr="001A6C61">
        <w:rPr>
          <w:lang w:val="en-US"/>
        </w:rPr>
        <w:t xml:space="preserve">, Taklimakan, </w:t>
      </w:r>
      <w:proofErr w:type="spellStart"/>
      <w:r w:rsidRPr="001A6C61">
        <w:rPr>
          <w:lang w:val="en-US"/>
        </w:rPr>
        <w:t>Karakum</w:t>
      </w:r>
      <w:proofErr w:type="spellEnd"/>
      <w:r w:rsidRPr="001A6C61">
        <w:rPr>
          <w:lang w:val="en-US"/>
        </w:rPr>
        <w:t xml:space="preserve"> and </w:t>
      </w:r>
      <w:proofErr w:type="spellStart"/>
      <w:r w:rsidRPr="001A6C61">
        <w:rPr>
          <w:lang w:val="en-US"/>
        </w:rPr>
        <w:t>Kyzylkum</w:t>
      </w:r>
      <w:proofErr w:type="spellEnd"/>
      <w:r w:rsidRPr="001A6C61">
        <w:rPr>
          <w:lang w:val="en-US"/>
        </w:rPr>
        <w:t xml:space="preserve"> deserts (Fig. 1A). These deserts, along with the adjoining loess regions, can be regarded as a single large, integrated arid and semi-arid region. However, the climatic conditions in this extensive region are diverse. For example, the Chinese Loess Plateau is largely controlled by the East Asia monsoon system characterized by hot, moist summers and cold, dry winters. In contrast, there is a strong Mediterranean-type climatic influence in the loess region of Tajikistan, with characteristic hot, dry summers and mild, moist winters. Given this contrasting regional distribution of heat and moisture, comparison and correlation of C3/C4 evolution between the two loess regions provides a means of improving understanding of the factors controlling C3/C4 vegetation shifts in the middle latitudes and the complex interactions between the environmental factors involved. Here, we present a </w:t>
      </w:r>
      <w:r>
        <w:t>δ</w:t>
      </w:r>
      <w:r w:rsidRPr="001A6C61">
        <w:rPr>
          <w:lang w:val="en-US"/>
        </w:rPr>
        <w:t xml:space="preserve">13C record of bulk organic matter from </w:t>
      </w:r>
      <w:proofErr w:type="spellStart"/>
      <w:r w:rsidRPr="001A6C61">
        <w:rPr>
          <w:lang w:val="en-US"/>
        </w:rPr>
        <w:t>Chashmanigar</w:t>
      </w:r>
      <w:proofErr w:type="spellEnd"/>
      <w:r w:rsidRPr="001A6C61">
        <w:rPr>
          <w:lang w:val="en-US"/>
        </w:rPr>
        <w:t xml:space="preserve"> loess section in southern Tajikistan for the past 1.77 </w:t>
      </w:r>
      <w:proofErr w:type="spellStart"/>
      <w:r w:rsidRPr="001A6C61">
        <w:rPr>
          <w:lang w:val="en-US"/>
        </w:rPr>
        <w:t>Myr</w:t>
      </w:r>
      <w:proofErr w:type="spellEnd"/>
      <w:r w:rsidRPr="001A6C61">
        <w:rPr>
          <w:lang w:val="en-US"/>
        </w:rPr>
        <w:t>. Our aim is to reconstruct the history of C3/C4 plants and to identify the factors influencing the abundance of C3 and C4 vegetation in Central Asia.</w:t>
      </w:r>
    </w:p>
    <w:p w:rsidR="001A6C61" w:rsidRPr="001A6C61" w:rsidRDefault="001A6C61" w:rsidP="001A6C61">
      <w:pPr>
        <w:rPr>
          <w:lang w:val="en-US"/>
        </w:rPr>
      </w:pPr>
      <w:r w:rsidRPr="001A6C61">
        <w:rPr>
          <w:lang w:val="en-US"/>
        </w:rPr>
        <w:t>Section snippets</w:t>
      </w:r>
    </w:p>
    <w:p w:rsidR="001A6C61" w:rsidRPr="001A6C61" w:rsidRDefault="001A6C61" w:rsidP="001A6C61">
      <w:pPr>
        <w:rPr>
          <w:lang w:val="en-US"/>
        </w:rPr>
      </w:pPr>
      <w:r w:rsidRPr="001A6C61">
        <w:rPr>
          <w:lang w:val="en-US"/>
        </w:rPr>
        <w:t>Site locations and lithostratigraphy</w:t>
      </w:r>
    </w:p>
    <w:p w:rsidR="001A6C61" w:rsidRPr="001A6C61" w:rsidRDefault="001A6C61" w:rsidP="001A6C61">
      <w:pPr>
        <w:rPr>
          <w:lang w:val="en-US"/>
        </w:rPr>
      </w:pPr>
      <w:r w:rsidRPr="001A6C61">
        <w:rPr>
          <w:lang w:val="en-US"/>
        </w:rPr>
        <w:t xml:space="preserve">The </w:t>
      </w:r>
      <w:proofErr w:type="spellStart"/>
      <w:r w:rsidRPr="001A6C61">
        <w:rPr>
          <w:lang w:val="en-US"/>
        </w:rPr>
        <w:t>Chashmanigar</w:t>
      </w:r>
      <w:proofErr w:type="spellEnd"/>
      <w:r w:rsidRPr="001A6C61">
        <w:rPr>
          <w:lang w:val="en-US"/>
        </w:rPr>
        <w:t xml:space="preserve"> loess section (38°23′32ʺN, 69°49′57ʺE) is situated in southern Tajikistan where loess deposits are widely distributed on river terraces and piedmonts (Fig. 1). At present, the mean annual temperature and precipitation at </w:t>
      </w:r>
      <w:proofErr w:type="spellStart"/>
      <w:r w:rsidRPr="001A6C61">
        <w:rPr>
          <w:lang w:val="en-US"/>
        </w:rPr>
        <w:t>Chashmanigar</w:t>
      </w:r>
      <w:proofErr w:type="spellEnd"/>
      <w:r w:rsidRPr="001A6C61">
        <w:rPr>
          <w:lang w:val="en-US"/>
        </w:rPr>
        <w:t xml:space="preserve"> are about 11 °C and 842 mm. Mean July and January temperatures are 23.6 °C and − 3.2 °C, respectively. The </w:t>
      </w:r>
      <w:proofErr w:type="spellStart"/>
      <w:r w:rsidRPr="001A6C61">
        <w:rPr>
          <w:lang w:val="en-US"/>
        </w:rPr>
        <w:t>Chashmanigar</w:t>
      </w:r>
      <w:proofErr w:type="spellEnd"/>
      <w:r w:rsidRPr="001A6C61">
        <w:rPr>
          <w:lang w:val="en-US"/>
        </w:rPr>
        <w:t xml:space="preserve"> section, with a thickness of </w:t>
      </w:r>
      <w:r w:rsidRPr="001A6C61">
        <w:rPr>
          <w:rFonts w:ascii="Cambria Math" w:hAnsi="Cambria Math" w:cs="Cambria Math"/>
          <w:lang w:val="en-US"/>
        </w:rPr>
        <w:t>∼</w:t>
      </w:r>
      <w:r w:rsidRPr="001A6C61">
        <w:rPr>
          <w:lang w:val="en-US"/>
        </w:rPr>
        <w:t xml:space="preserve"> 205 m, is underlain by gravel sediments. The lowermost part of the section is covered by slumps,</w:t>
      </w:r>
    </w:p>
    <w:p w:rsidR="001A6C61" w:rsidRPr="001A6C61" w:rsidRDefault="001A6C61" w:rsidP="001A6C61">
      <w:pPr>
        <w:rPr>
          <w:lang w:val="en-US"/>
        </w:rPr>
      </w:pPr>
      <w:r w:rsidRPr="001A6C61">
        <w:rPr>
          <w:lang w:val="en-US"/>
        </w:rPr>
        <w:t>Methods</w:t>
      </w:r>
    </w:p>
    <w:p w:rsidR="001A6C61" w:rsidRPr="001A6C61" w:rsidRDefault="001A6C61" w:rsidP="001A6C61">
      <w:pPr>
        <w:rPr>
          <w:lang w:val="en-US"/>
        </w:rPr>
      </w:pPr>
      <w:r w:rsidRPr="001A6C61">
        <w:rPr>
          <w:lang w:val="en-US"/>
        </w:rPr>
        <w:lastRenderedPageBreak/>
        <w:t xml:space="preserve">At </w:t>
      </w:r>
      <w:proofErr w:type="spellStart"/>
      <w:r w:rsidRPr="001A6C61">
        <w:rPr>
          <w:lang w:val="en-US"/>
        </w:rPr>
        <w:t>Chashmanigar</w:t>
      </w:r>
      <w:proofErr w:type="spellEnd"/>
      <w:r w:rsidRPr="001A6C61">
        <w:rPr>
          <w:lang w:val="en-US"/>
        </w:rPr>
        <w:t xml:space="preserve">, 485 samples were taken at vertical intervals of </w:t>
      </w:r>
      <w:r w:rsidRPr="001A6C61">
        <w:rPr>
          <w:rFonts w:ascii="Cambria Math" w:hAnsi="Cambria Math" w:cs="Cambria Math"/>
          <w:lang w:val="en-US"/>
        </w:rPr>
        <w:t>∼</w:t>
      </w:r>
      <w:r w:rsidRPr="001A6C61">
        <w:rPr>
          <w:lang w:val="en-US"/>
        </w:rPr>
        <w:t xml:space="preserve"> 40 cm for </w:t>
      </w:r>
      <w:r>
        <w:rPr>
          <w:rFonts w:ascii="Calibri" w:hAnsi="Calibri" w:cs="Calibri"/>
        </w:rPr>
        <w:t>δ</w:t>
      </w:r>
      <w:r w:rsidRPr="001A6C61">
        <w:rPr>
          <w:lang w:val="en-US"/>
        </w:rPr>
        <w:t>13C analysis of bulk organic matter. Sample splits (</w:t>
      </w:r>
      <w:r w:rsidRPr="001A6C61">
        <w:rPr>
          <w:rFonts w:ascii="Cambria Math" w:hAnsi="Cambria Math" w:cs="Cambria Math"/>
          <w:lang w:val="en-US"/>
        </w:rPr>
        <w:t>∼</w:t>
      </w:r>
      <w:r w:rsidRPr="001A6C61">
        <w:rPr>
          <w:lang w:val="en-US"/>
        </w:rPr>
        <w:t xml:space="preserve"> 2 g) were first screened for modern rootlets and then digested for at least 15 h in 1 M HCl at room temperature to remove inorganic carbonate. The samples were then washed to pH &gt; 4 with distilled water and dried for over 24 h at 60 °C. The dried samples (</w:t>
      </w:r>
      <w:r w:rsidRPr="001A6C61">
        <w:rPr>
          <w:rFonts w:ascii="Cambria Math" w:hAnsi="Cambria Math" w:cs="Cambria Math"/>
          <w:lang w:val="en-US"/>
        </w:rPr>
        <w:t>∼</w:t>
      </w:r>
      <w:r w:rsidRPr="001A6C61">
        <w:rPr>
          <w:lang w:val="en-US"/>
        </w:rPr>
        <w:t xml:space="preserve"> 480 mg) were combusted for over 4 h at 900 </w:t>
      </w:r>
      <w:r w:rsidRPr="001A6C61">
        <w:rPr>
          <w:rFonts w:ascii="Calibri" w:hAnsi="Calibri" w:cs="Calibri"/>
          <w:lang w:val="en-US"/>
        </w:rPr>
        <w:t>°</w:t>
      </w:r>
      <w:r w:rsidRPr="001A6C61">
        <w:rPr>
          <w:lang w:val="en-US"/>
        </w:rPr>
        <w:t>C in evacuated sealed quartz tubes in the presence of 0.5 g Cu, 4.5 g</w:t>
      </w:r>
    </w:p>
    <w:p w:rsidR="001A6C61" w:rsidRPr="001A6C61" w:rsidRDefault="001A6C61" w:rsidP="001A6C61">
      <w:pPr>
        <w:rPr>
          <w:lang w:val="en-US"/>
        </w:rPr>
      </w:pPr>
      <w:r w:rsidRPr="001A6C61">
        <w:rPr>
          <w:lang w:val="en-US"/>
        </w:rPr>
        <w:t>Results</w:t>
      </w:r>
    </w:p>
    <w:p w:rsidR="001A6C61" w:rsidRPr="001A6C61" w:rsidRDefault="001A6C61" w:rsidP="001A6C61">
      <w:pPr>
        <w:rPr>
          <w:lang w:val="en-US"/>
        </w:rPr>
      </w:pPr>
      <w:r w:rsidRPr="001A6C61">
        <w:rPr>
          <w:lang w:val="en-US"/>
        </w:rPr>
        <w:t xml:space="preserve">The </w:t>
      </w:r>
      <w:r>
        <w:t>δ</w:t>
      </w:r>
      <w:r w:rsidRPr="001A6C61">
        <w:rPr>
          <w:lang w:val="en-US"/>
        </w:rPr>
        <w:t xml:space="preserve">13C record of organic matter from the Tajik loess over the past 1.77 </w:t>
      </w:r>
      <w:proofErr w:type="spellStart"/>
      <w:r w:rsidRPr="001A6C61">
        <w:rPr>
          <w:lang w:val="en-US"/>
        </w:rPr>
        <w:t>Myr</w:t>
      </w:r>
      <w:proofErr w:type="spellEnd"/>
      <w:r w:rsidRPr="001A6C61">
        <w:rPr>
          <w:lang w:val="en-US"/>
        </w:rPr>
        <w:t xml:space="preserve"> is shown in Fig. 3. From 1.77 to 0.85 </w:t>
      </w:r>
      <w:proofErr w:type="spellStart"/>
      <w:r w:rsidRPr="001A6C61">
        <w:rPr>
          <w:lang w:val="en-US"/>
        </w:rPr>
        <w:t>Myr</w:t>
      </w:r>
      <w:proofErr w:type="spellEnd"/>
      <w:r w:rsidRPr="001A6C61">
        <w:rPr>
          <w:lang w:val="en-US"/>
        </w:rPr>
        <w:t xml:space="preserve">, all the samples show strongly negative </w:t>
      </w:r>
      <w:r>
        <w:t>δ</w:t>
      </w:r>
      <w:r w:rsidRPr="001A6C61">
        <w:rPr>
          <w:lang w:val="en-US"/>
        </w:rPr>
        <w:t xml:space="preserve">13C values, with almost all of the </w:t>
      </w:r>
      <w:r>
        <w:t>δ</w:t>
      </w:r>
      <w:r w:rsidRPr="001A6C61">
        <w:rPr>
          <w:lang w:val="en-US"/>
        </w:rPr>
        <w:t xml:space="preserve">13C results falling between − 24.5‰ and − 26‰. Although the paleosol units within this period generally exhibit slightly lower values (range of − 25.2‰ to − 26.5‰) compared to the adjacent loess horizons (range of − 24.5‰ to − 25.8‰), the alternation of loess and soil units in the </w:t>
      </w:r>
      <w:r>
        <w:t>δ</w:t>
      </w:r>
      <w:r w:rsidRPr="001A6C61">
        <w:rPr>
          <w:lang w:val="en-US"/>
        </w:rPr>
        <w:t>13C record is not</w:t>
      </w:r>
    </w:p>
    <w:p w:rsidR="001A6C61" w:rsidRPr="001A6C61" w:rsidRDefault="001A6C61" w:rsidP="001A6C61">
      <w:pPr>
        <w:rPr>
          <w:lang w:val="en-US"/>
        </w:rPr>
      </w:pPr>
      <w:proofErr w:type="spellStart"/>
      <w:r w:rsidRPr="001A6C61">
        <w:rPr>
          <w:lang w:val="en-US"/>
        </w:rPr>
        <w:t>Paleofloral</w:t>
      </w:r>
      <w:proofErr w:type="spellEnd"/>
      <w:r w:rsidRPr="001A6C61">
        <w:rPr>
          <w:lang w:val="en-US"/>
        </w:rPr>
        <w:t xml:space="preserve"> reconstruction</w:t>
      </w:r>
    </w:p>
    <w:p w:rsidR="001A6C61" w:rsidRPr="001A6C61" w:rsidRDefault="001A6C61" w:rsidP="001A6C61">
      <w:pPr>
        <w:rPr>
          <w:lang w:val="en-US"/>
        </w:rPr>
      </w:pPr>
      <w:r w:rsidRPr="001A6C61">
        <w:rPr>
          <w:lang w:val="en-US"/>
        </w:rPr>
        <w:t>The carbon isotope composition of modern C3 plants varies from about − 22‰ to − 34‰ and averages about − 27‰, while modern C4 plants exhibit a range from about − 10‰ to − 14‰, with an average of about − 13‰ (</w:t>
      </w:r>
      <w:proofErr w:type="spellStart"/>
      <w:r w:rsidRPr="001A6C61">
        <w:rPr>
          <w:lang w:val="en-US"/>
        </w:rPr>
        <w:t>Deines</w:t>
      </w:r>
      <w:proofErr w:type="spellEnd"/>
      <w:r w:rsidRPr="001A6C61">
        <w:rPr>
          <w:lang w:val="en-US"/>
        </w:rPr>
        <w:t>, 1980, O'Leary, 1988, Farquhar et al., 1989). Since soil organic matter shows an enrichment of 13C by 1–3‰ due to diagenesis (</w:t>
      </w:r>
      <w:proofErr w:type="spellStart"/>
      <w:r w:rsidRPr="001A6C61">
        <w:rPr>
          <w:lang w:val="en-US"/>
        </w:rPr>
        <w:t>Balesdent</w:t>
      </w:r>
      <w:proofErr w:type="spellEnd"/>
      <w:r w:rsidRPr="001A6C61">
        <w:rPr>
          <w:lang w:val="en-US"/>
        </w:rPr>
        <w:t xml:space="preserve"> et al., 1993, Buchmann et al., 1997), we assume here that </w:t>
      </w:r>
      <w:r>
        <w:t>δ</w:t>
      </w:r>
      <w:r w:rsidRPr="001A6C61">
        <w:rPr>
          <w:lang w:val="en-US"/>
        </w:rPr>
        <w:t xml:space="preserve">13C values of ≤ − 24‰ indicate pure C3 vegetation. Thus, the </w:t>
      </w:r>
      <w:r>
        <w:t>δ</w:t>
      </w:r>
      <w:r w:rsidRPr="001A6C61">
        <w:rPr>
          <w:lang w:val="en-US"/>
        </w:rPr>
        <w:t xml:space="preserve">13C record in the </w:t>
      </w:r>
      <w:proofErr w:type="spellStart"/>
      <w:r w:rsidRPr="001A6C61">
        <w:rPr>
          <w:lang w:val="en-US"/>
        </w:rPr>
        <w:t>Chashmanigar</w:t>
      </w:r>
      <w:proofErr w:type="spellEnd"/>
    </w:p>
    <w:p w:rsidR="001A6C61" w:rsidRPr="001A6C61" w:rsidRDefault="001A6C61" w:rsidP="001A6C61">
      <w:pPr>
        <w:rPr>
          <w:lang w:val="en-US"/>
        </w:rPr>
      </w:pPr>
      <w:r w:rsidRPr="001A6C61">
        <w:rPr>
          <w:lang w:val="en-US"/>
        </w:rPr>
        <w:t>Factors controlling C3/C4 shift in Central Asia</w:t>
      </w:r>
    </w:p>
    <w:p w:rsidR="001A6C61" w:rsidRPr="001A6C61" w:rsidRDefault="001A6C61" w:rsidP="001A6C61">
      <w:pPr>
        <w:rPr>
          <w:lang w:val="en-US"/>
        </w:rPr>
      </w:pPr>
      <w:r w:rsidRPr="001A6C61">
        <w:rPr>
          <w:lang w:val="en-US"/>
        </w:rPr>
        <w:t xml:space="preserve">The relative abundance of C4 versus C3 plants is controlled by complex interactions between several environmental factors, including rainfall, precipitation seasonality, temperature and pCO2 (Sage et al., 1999). Generally, higher pCO2, lower temperature and higher rainfall (especially enhanced winter precipitation) favor C3 plants over C4 plants. In southern Tajikistan, C3 vegetation predominated in both </w:t>
      </w:r>
      <w:proofErr w:type="spellStart"/>
      <w:r w:rsidRPr="001A6C61">
        <w:rPr>
          <w:lang w:val="en-US"/>
        </w:rPr>
        <w:t>glacials</w:t>
      </w:r>
      <w:proofErr w:type="spellEnd"/>
      <w:r w:rsidRPr="001A6C61">
        <w:rPr>
          <w:lang w:val="en-US"/>
        </w:rPr>
        <w:t xml:space="preserve"> and </w:t>
      </w:r>
      <w:proofErr w:type="spellStart"/>
      <w:r w:rsidRPr="001A6C61">
        <w:rPr>
          <w:lang w:val="en-US"/>
        </w:rPr>
        <w:t>interglacials</w:t>
      </w:r>
      <w:proofErr w:type="spellEnd"/>
      <w:r w:rsidRPr="001A6C61">
        <w:rPr>
          <w:lang w:val="en-US"/>
        </w:rPr>
        <w:t xml:space="preserve"> throughout the past 1.77 </w:t>
      </w:r>
      <w:proofErr w:type="spellStart"/>
      <w:r w:rsidRPr="001A6C61">
        <w:rPr>
          <w:lang w:val="en-US"/>
        </w:rPr>
        <w:t>Myr</w:t>
      </w:r>
      <w:proofErr w:type="spellEnd"/>
      <w:r w:rsidRPr="001A6C61">
        <w:rPr>
          <w:lang w:val="en-US"/>
        </w:rPr>
        <w:t>. Thus, changes in aridity,</w:t>
      </w:r>
    </w:p>
    <w:p w:rsidR="001A6C61" w:rsidRPr="001A6C61" w:rsidRDefault="001A6C61" w:rsidP="001A6C61">
      <w:pPr>
        <w:rPr>
          <w:lang w:val="en-US"/>
        </w:rPr>
      </w:pPr>
      <w:r w:rsidRPr="001A6C61">
        <w:rPr>
          <w:lang w:val="en-US"/>
        </w:rPr>
        <w:t>Conclusions</w:t>
      </w:r>
    </w:p>
    <w:p w:rsidR="001A6C61" w:rsidRPr="001A6C61" w:rsidRDefault="001A6C61" w:rsidP="001A6C61">
      <w:pPr>
        <w:rPr>
          <w:lang w:val="en-US"/>
        </w:rPr>
      </w:pPr>
      <w:r w:rsidRPr="001A6C61">
        <w:rPr>
          <w:lang w:val="en-US"/>
        </w:rPr>
        <w:t xml:space="preserve">The carbon isotope record of loess organic matter from Tajikistan suggests that C3 vegetation was predominant in this region at least over the past 1.77 </w:t>
      </w:r>
      <w:proofErr w:type="spellStart"/>
      <w:r w:rsidRPr="001A6C61">
        <w:rPr>
          <w:lang w:val="en-US"/>
        </w:rPr>
        <w:t>Myr</w:t>
      </w:r>
      <w:proofErr w:type="spellEnd"/>
      <w:r w:rsidRPr="001A6C61">
        <w:rPr>
          <w:lang w:val="en-US"/>
        </w:rPr>
        <w:t xml:space="preserve">, despite the numerous glacial–interglacial cycles. This leads us to the conclusion that winter–spring precipitation has been the dominant rainfall pattern in Central Asia over that period of time. The gradual increase in the C4 signal, possibly commencing as early as </w:t>
      </w:r>
      <w:r w:rsidRPr="001A6C61">
        <w:rPr>
          <w:rFonts w:ascii="Cambria Math" w:hAnsi="Cambria Math" w:cs="Cambria Math"/>
          <w:lang w:val="en-US"/>
        </w:rPr>
        <w:t>∼</w:t>
      </w:r>
      <w:r w:rsidRPr="001A6C61">
        <w:rPr>
          <w:lang w:val="en-US"/>
        </w:rPr>
        <w:t xml:space="preserve"> 0.85 </w:t>
      </w:r>
      <w:proofErr w:type="spellStart"/>
      <w:r w:rsidRPr="001A6C61">
        <w:rPr>
          <w:lang w:val="en-US"/>
        </w:rPr>
        <w:t>Myr</w:t>
      </w:r>
      <w:proofErr w:type="spellEnd"/>
      <w:r w:rsidRPr="001A6C61">
        <w:rPr>
          <w:lang w:val="en-US"/>
        </w:rPr>
        <w:t xml:space="preserve">, is not clearly evident until after 0.25 </w:t>
      </w:r>
      <w:proofErr w:type="spellStart"/>
      <w:r w:rsidRPr="001A6C61">
        <w:rPr>
          <w:lang w:val="en-US"/>
        </w:rPr>
        <w:t>Myr</w:t>
      </w:r>
      <w:proofErr w:type="spellEnd"/>
      <w:r w:rsidRPr="001A6C61">
        <w:rPr>
          <w:lang w:val="en-US"/>
        </w:rPr>
        <w:t>. Thereafter, minor C</w:t>
      </w:r>
    </w:p>
    <w:p w:rsidR="001A6C61" w:rsidRPr="001A6C61" w:rsidRDefault="001A6C61" w:rsidP="001A6C61">
      <w:pPr>
        <w:rPr>
          <w:lang w:val="en-US"/>
        </w:rPr>
      </w:pPr>
      <w:r w:rsidRPr="001A6C61">
        <w:rPr>
          <w:lang w:val="en-US"/>
        </w:rPr>
        <w:t>Acknowledgements</w:t>
      </w:r>
    </w:p>
    <w:p w:rsidR="00F064A1" w:rsidRPr="001A6C61" w:rsidRDefault="001A6C61" w:rsidP="001A6C61">
      <w:pPr>
        <w:rPr>
          <w:lang w:val="en-US"/>
        </w:rPr>
      </w:pPr>
      <w:r w:rsidRPr="001A6C61">
        <w:rPr>
          <w:lang w:val="en-US"/>
        </w:rPr>
        <w:t xml:space="preserve">This study is funded by the National Natural Science Foundation of China (Grants 40202016, 90202020 and 40231011) and the Chinese Academy of Sciences (KZCX2-SW-133). We are greatly indebted to Edward Derbyshire, Jay Quade and two anonymous reviewers for critical comments on an earlier version of this paper. We also thank </w:t>
      </w:r>
      <w:proofErr w:type="spellStart"/>
      <w:r w:rsidRPr="001A6C61">
        <w:rPr>
          <w:lang w:val="en-US"/>
        </w:rPr>
        <w:t>Jingtai</w:t>
      </w:r>
      <w:proofErr w:type="spellEnd"/>
      <w:r w:rsidRPr="001A6C61">
        <w:rPr>
          <w:lang w:val="en-US"/>
        </w:rPr>
        <w:t xml:space="preserve"> Han, </w:t>
      </w:r>
      <w:proofErr w:type="spellStart"/>
      <w:r w:rsidRPr="001A6C61">
        <w:rPr>
          <w:lang w:val="en-US"/>
        </w:rPr>
        <w:t>Zhaoyan</w:t>
      </w:r>
      <w:proofErr w:type="spellEnd"/>
      <w:r w:rsidRPr="001A6C61">
        <w:rPr>
          <w:lang w:val="en-US"/>
        </w:rPr>
        <w:t xml:space="preserve"> Gu and Graham Farquhar for helpful discussions, Vadim </w:t>
      </w:r>
      <w:proofErr w:type="spellStart"/>
      <w:r w:rsidRPr="001A6C61">
        <w:rPr>
          <w:lang w:val="en-US"/>
        </w:rPr>
        <w:t>Ranov</w:t>
      </w:r>
      <w:proofErr w:type="spellEnd"/>
      <w:r w:rsidRPr="001A6C61">
        <w:rPr>
          <w:lang w:val="en-US"/>
        </w:rPr>
        <w:t xml:space="preserve">, </w:t>
      </w:r>
      <w:proofErr w:type="spellStart"/>
      <w:r w:rsidRPr="001A6C61">
        <w:rPr>
          <w:lang w:val="en-US"/>
        </w:rPr>
        <w:t>Jiamao</w:t>
      </w:r>
      <w:proofErr w:type="spellEnd"/>
      <w:r w:rsidRPr="001A6C61">
        <w:rPr>
          <w:lang w:val="en-US"/>
        </w:rPr>
        <w:t xml:space="preserve"> Han and </w:t>
      </w:r>
      <w:proofErr w:type="spellStart"/>
      <w:r w:rsidRPr="001A6C61">
        <w:rPr>
          <w:lang w:val="en-US"/>
        </w:rPr>
        <w:t>Guoan</w:t>
      </w:r>
      <w:proofErr w:type="spellEnd"/>
      <w:r w:rsidRPr="001A6C61">
        <w:rPr>
          <w:lang w:val="en-US"/>
        </w:rPr>
        <w:t xml:space="preserve"> Wang for field assistance, and Alexander </w:t>
      </w:r>
      <w:proofErr w:type="spellStart"/>
      <w:r w:rsidRPr="001A6C61">
        <w:rPr>
          <w:lang w:val="en-US"/>
        </w:rPr>
        <w:t>Finaev</w:t>
      </w:r>
      <w:proofErr w:type="spellEnd"/>
      <w:r w:rsidRPr="001A6C61">
        <w:rPr>
          <w:lang w:val="en-US"/>
        </w:rPr>
        <w:t xml:space="preserve"> for providing climatic</w:t>
      </w:r>
    </w:p>
    <w:sectPr w:rsidR="00F064A1" w:rsidRPr="001A6C6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61"/>
    <w:rsid w:val="001A6C61"/>
    <w:rsid w:val="00F06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0F042"/>
  <w15:chartTrackingRefBased/>
  <w15:docId w15:val="{21B2A9F7-C322-44D8-B165-42C4F0D0F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1666</Words>
  <Characters>9498</Characters>
  <Application>Microsoft Office Word</Application>
  <DocSecurity>0</DocSecurity>
  <Lines>79</Lines>
  <Paragraphs>22</Paragraphs>
  <ScaleCrop>false</ScaleCrop>
  <Company/>
  <LinksUpToDate>false</LinksUpToDate>
  <CharactersWithSpaces>11142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 Patuk</cp:lastModifiedBy>
  <cp:revision>1</cp:revision>
  <dcterms:created xsi:type="dcterms:W3CDTF">2025-03-29T03:23:00Z</dcterms:created>
  <dcterms:modified xsi:type="dcterms:W3CDTF">2025-03-29T03:24:00Z</dcterms:modified>
</cp:coreProperties>
</file>