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933A18" w:rsidRPr="00933A18" w:rsidRDefault="00933A18" w:rsidP="00933A18">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933A18">
        <w:rPr>
          <w:rFonts w:ascii="Times New Roman" w:eastAsia="Times New Roman" w:hAnsi="Times New Roman" w:cs="Times New Roman"/>
          <w:b/>
          <w:bCs/>
          <w:kern w:val="36"/>
          <w:sz w:val="48"/>
          <w:szCs w:val="48"/>
        </w:rPr>
        <w:t>Experimental determination of the diffusion coefficient for calcium in olivine between 900°C and 1500°C</w:t>
      </w:r>
    </w:p>
    <w:p w:rsidR="00933A18" w:rsidRPr="00933A18" w:rsidRDefault="00933A18" w:rsidP="00933A18">
      <w:pPr>
        <w:spacing w:after="0" w:line="240" w:lineRule="auto"/>
        <w:rPr>
          <w:rFonts w:ascii="Times New Roman" w:eastAsia="Times New Roman" w:hAnsi="Times New Roman" w:cs="Times New Roman"/>
          <w:sz w:val="24"/>
          <w:szCs w:val="24"/>
        </w:rPr>
      </w:pPr>
      <w:r w:rsidRPr="00933A18">
        <w:rPr>
          <w:rFonts w:ascii="Times New Roman" w:eastAsia="Times New Roman" w:hAnsi="Times New Roman" w:cs="Times New Roman"/>
          <w:sz w:val="24"/>
          <w:szCs w:val="24"/>
        </w:rPr>
        <w:t>Author links open overlay panel</w:t>
      </w:r>
    </w:p>
    <w:p w:rsidR="00933A18" w:rsidRPr="00933A18" w:rsidRDefault="00933A18" w:rsidP="00933A18">
      <w:pPr>
        <w:spacing w:after="0" w:line="240" w:lineRule="auto"/>
        <w:rPr>
          <w:rFonts w:ascii="Times New Roman" w:eastAsia="Times New Roman" w:hAnsi="Times New Roman" w:cs="Times New Roman"/>
          <w:sz w:val="24"/>
          <w:szCs w:val="24"/>
        </w:rPr>
      </w:pPr>
      <w:r w:rsidRPr="00933A18">
        <w:rPr>
          <w:rFonts w:ascii="Times New Roman" w:eastAsia="Times New Roman" w:hAnsi="Times New Roman" w:cs="Times New Roman"/>
          <w:sz w:val="24"/>
          <w:szCs w:val="24"/>
        </w:rPr>
        <w:t xml:space="preserve">, , , </w:t>
      </w:r>
    </w:p>
    <w:p w:rsidR="00933A18" w:rsidRPr="00933A18" w:rsidRDefault="00933A18" w:rsidP="00933A18">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933A18">
          <w:rPr>
            <w:rFonts w:ascii="Times New Roman" w:eastAsia="Times New Roman" w:hAnsi="Times New Roman" w:cs="Times New Roman"/>
            <w:color w:val="0000FF"/>
            <w:sz w:val="24"/>
            <w:szCs w:val="24"/>
            <w:u w:val="single"/>
          </w:rPr>
          <w:t>https://doi.org/10.1016/j.gca.2005.03.002</w:t>
        </w:r>
      </w:hyperlink>
      <w:bookmarkStart w:id="0" w:name="_GoBack"/>
      <w:bookmarkEnd w:id="0"/>
      <w:r w:rsidRPr="00933A18">
        <w:rPr>
          <w:rFonts w:ascii="Times New Roman" w:eastAsia="Times New Roman" w:hAnsi="Times New Roman" w:cs="Times New Roman"/>
          <w:sz w:val="24"/>
          <w:szCs w:val="24"/>
        </w:rPr>
        <w:t xml:space="preserve"> </w:t>
      </w:r>
    </w:p>
    <w:p w:rsidR="00933A18" w:rsidRPr="00933A18" w:rsidRDefault="00933A18" w:rsidP="00933A18">
      <w:pPr>
        <w:spacing w:before="100" w:beforeAutospacing="1" w:after="100" w:afterAutospacing="1" w:line="240" w:lineRule="auto"/>
        <w:outlineLvl w:val="1"/>
        <w:rPr>
          <w:rFonts w:ascii="Times New Roman" w:eastAsia="Times New Roman" w:hAnsi="Times New Roman" w:cs="Times New Roman"/>
          <w:b/>
          <w:bCs/>
          <w:sz w:val="36"/>
          <w:szCs w:val="36"/>
        </w:rPr>
      </w:pPr>
      <w:r w:rsidRPr="00933A18">
        <w:rPr>
          <w:rFonts w:ascii="Times New Roman" w:eastAsia="Times New Roman" w:hAnsi="Times New Roman" w:cs="Times New Roman"/>
          <w:b/>
          <w:bCs/>
          <w:sz w:val="36"/>
          <w:szCs w:val="36"/>
        </w:rPr>
        <w:t>Abstract</w:t>
      </w:r>
    </w:p>
    <w:p w:rsidR="00933A18" w:rsidRPr="00933A18" w:rsidRDefault="00933A18" w:rsidP="00933A18">
      <w:pPr>
        <w:spacing w:before="100" w:beforeAutospacing="1" w:after="100" w:afterAutospacing="1" w:line="240" w:lineRule="auto"/>
        <w:rPr>
          <w:rFonts w:ascii="Times New Roman" w:eastAsia="Times New Roman" w:hAnsi="Times New Roman" w:cs="Times New Roman"/>
          <w:sz w:val="24"/>
          <w:szCs w:val="24"/>
        </w:rPr>
      </w:pPr>
      <w:r w:rsidRPr="00933A18">
        <w:rPr>
          <w:rFonts w:ascii="Times New Roman" w:eastAsia="Times New Roman" w:hAnsi="Times New Roman" w:cs="Times New Roman"/>
          <w:sz w:val="24"/>
          <w:szCs w:val="24"/>
        </w:rPr>
        <w:t>Experiments have been carried out to determine the temperature, oxygen fugacity (</w:t>
      </w:r>
      <w:r w:rsidRPr="00933A18">
        <w:rPr>
          <w:rFonts w:ascii="Times New Roman" w:eastAsia="Times New Roman" w:hAnsi="Times New Roman" w:cs="Times New Roman"/>
          <w:i/>
          <w:iCs/>
          <w:sz w:val="24"/>
          <w:szCs w:val="24"/>
        </w:rPr>
        <w:t>f</w:t>
      </w:r>
      <w:r w:rsidRPr="00933A18">
        <w:rPr>
          <w:rFonts w:ascii="Times New Roman" w:eastAsia="Times New Roman" w:hAnsi="Times New Roman" w:cs="Times New Roman"/>
          <w:sz w:val="24"/>
          <w:szCs w:val="24"/>
        </w:rPr>
        <w:t>O</w:t>
      </w:r>
      <w:r w:rsidRPr="00933A18">
        <w:rPr>
          <w:rFonts w:ascii="Times New Roman" w:eastAsia="Times New Roman" w:hAnsi="Times New Roman" w:cs="Times New Roman"/>
          <w:sz w:val="24"/>
          <w:szCs w:val="24"/>
          <w:vertAlign w:val="subscript"/>
        </w:rPr>
        <w:t>2</w:t>
      </w:r>
      <w:r w:rsidRPr="00933A18">
        <w:rPr>
          <w:rFonts w:ascii="Times New Roman" w:eastAsia="Times New Roman" w:hAnsi="Times New Roman" w:cs="Times New Roman"/>
          <w:sz w:val="24"/>
          <w:szCs w:val="24"/>
        </w:rPr>
        <w:t xml:space="preserve">) and compositional dependence of the tracer </w:t>
      </w:r>
      <w:hyperlink r:id="rId5" w:tooltip="Learn more about diffusion coefficient from ScienceDirect's AI-generated Topic Pages" w:history="1">
        <w:r w:rsidRPr="00933A18">
          <w:rPr>
            <w:rFonts w:ascii="Times New Roman" w:eastAsia="Times New Roman" w:hAnsi="Times New Roman" w:cs="Times New Roman"/>
            <w:color w:val="0000FF"/>
            <w:sz w:val="24"/>
            <w:szCs w:val="24"/>
            <w:u w:val="single"/>
          </w:rPr>
          <w:t>diffusion coefficient</w:t>
        </w:r>
      </w:hyperlink>
      <w:r w:rsidRPr="00933A18">
        <w:rPr>
          <w:rFonts w:ascii="Times New Roman" w:eastAsia="Times New Roman" w:hAnsi="Times New Roman" w:cs="Times New Roman"/>
          <w:sz w:val="24"/>
          <w:szCs w:val="24"/>
        </w:rPr>
        <w:t xml:space="preserve"> (D) of calcium in olivine. These data constrain the diffusion coefficient over the temperature range 900 to 1500°C for the three principal crystallographic axes. Well constrained linear relationships between the reciprocal of the absolute temperature and log(D) exist at any given oxygen fugacity. There is a strong dependence of the diffusion coefficient on oxygen fugacity with D </w:t>
      </w:r>
      <w:r w:rsidRPr="00933A18">
        <w:rPr>
          <w:rFonts w:ascii="Cambria Math" w:eastAsia="Times New Roman" w:hAnsi="Cambria Math" w:cs="Cambria Math"/>
          <w:sz w:val="24"/>
          <w:szCs w:val="24"/>
        </w:rPr>
        <w:t>∝</w:t>
      </w:r>
      <w:r w:rsidRPr="00933A18">
        <w:rPr>
          <w:rFonts w:ascii="Times New Roman" w:eastAsia="Times New Roman" w:hAnsi="Times New Roman" w:cs="Times New Roman"/>
          <w:sz w:val="24"/>
          <w:szCs w:val="24"/>
        </w:rPr>
        <w:t xml:space="preserve"> </w:t>
      </w:r>
      <w:r w:rsidRPr="00933A18">
        <w:rPr>
          <w:rFonts w:ascii="Times New Roman" w:eastAsia="Times New Roman" w:hAnsi="Times New Roman" w:cs="Times New Roman"/>
          <w:i/>
          <w:iCs/>
          <w:sz w:val="24"/>
          <w:szCs w:val="24"/>
        </w:rPr>
        <w:t>f</w:t>
      </w:r>
      <w:r w:rsidRPr="00933A18">
        <w:rPr>
          <w:rFonts w:ascii="Times New Roman" w:eastAsia="Times New Roman" w:hAnsi="Times New Roman" w:cs="Times New Roman"/>
          <w:sz w:val="24"/>
          <w:szCs w:val="24"/>
        </w:rPr>
        <w:t>O</w:t>
      </w:r>
      <w:r w:rsidRPr="00933A18">
        <w:rPr>
          <w:rFonts w:ascii="Times New Roman" w:eastAsia="Times New Roman" w:hAnsi="Times New Roman" w:cs="Times New Roman"/>
          <w:sz w:val="24"/>
          <w:szCs w:val="24"/>
          <w:vertAlign w:val="subscript"/>
        </w:rPr>
        <w:t>2</w:t>
      </w:r>
      <w:r w:rsidRPr="00933A18">
        <w:rPr>
          <w:rFonts w:ascii="Times New Roman" w:eastAsia="Times New Roman" w:hAnsi="Times New Roman" w:cs="Times New Roman"/>
          <w:sz w:val="24"/>
          <w:szCs w:val="24"/>
          <w:vertAlign w:val="superscript"/>
        </w:rPr>
        <w:t>(1/3)</w:t>
      </w:r>
      <w:r w:rsidRPr="00933A18">
        <w:rPr>
          <w:rFonts w:ascii="Times New Roman" w:eastAsia="Times New Roman" w:hAnsi="Times New Roman" w:cs="Times New Roman"/>
          <w:sz w:val="24"/>
          <w:szCs w:val="24"/>
        </w:rPr>
        <w:t>. This makes a knowledge of the T-</w:t>
      </w:r>
      <w:r w:rsidRPr="00933A18">
        <w:rPr>
          <w:rFonts w:ascii="Times New Roman" w:eastAsia="Times New Roman" w:hAnsi="Times New Roman" w:cs="Times New Roman"/>
          <w:i/>
          <w:iCs/>
          <w:sz w:val="24"/>
          <w:szCs w:val="24"/>
        </w:rPr>
        <w:t>f</w:t>
      </w:r>
      <w:r w:rsidRPr="00933A18">
        <w:rPr>
          <w:rFonts w:ascii="Times New Roman" w:eastAsia="Times New Roman" w:hAnsi="Times New Roman" w:cs="Times New Roman"/>
          <w:sz w:val="24"/>
          <w:szCs w:val="24"/>
        </w:rPr>
        <w:t>O</w:t>
      </w:r>
      <w:r w:rsidRPr="00933A18">
        <w:rPr>
          <w:rFonts w:ascii="Times New Roman" w:eastAsia="Times New Roman" w:hAnsi="Times New Roman" w:cs="Times New Roman"/>
          <w:sz w:val="24"/>
          <w:szCs w:val="24"/>
          <w:vertAlign w:val="subscript"/>
        </w:rPr>
        <w:t>2</w:t>
      </w:r>
      <w:r w:rsidRPr="00933A18">
        <w:rPr>
          <w:rFonts w:ascii="Times New Roman" w:eastAsia="Times New Roman" w:hAnsi="Times New Roman" w:cs="Times New Roman"/>
          <w:sz w:val="24"/>
          <w:szCs w:val="24"/>
        </w:rPr>
        <w:t xml:space="preserve"> path followed by geological samples a prerequisite for modelling Ca diffusion in olivine. The best fitting preexponential factor (Do) and activation energy (E) to the Arrhenius equation log (D) = log [Do exp(−E/RT)] + 0.31Δ log </w:t>
      </w:r>
      <w:r w:rsidRPr="00933A18">
        <w:rPr>
          <w:rFonts w:ascii="Times New Roman" w:eastAsia="Times New Roman" w:hAnsi="Times New Roman" w:cs="Times New Roman"/>
          <w:i/>
          <w:iCs/>
          <w:sz w:val="24"/>
          <w:szCs w:val="24"/>
        </w:rPr>
        <w:t>f</w:t>
      </w:r>
      <w:r w:rsidRPr="00933A18">
        <w:rPr>
          <w:rFonts w:ascii="Times New Roman" w:eastAsia="Times New Roman" w:hAnsi="Times New Roman" w:cs="Times New Roman"/>
          <w:sz w:val="24"/>
          <w:szCs w:val="24"/>
        </w:rPr>
        <w:t>O</w:t>
      </w:r>
      <w:r w:rsidRPr="00933A18">
        <w:rPr>
          <w:rFonts w:ascii="Times New Roman" w:eastAsia="Times New Roman" w:hAnsi="Times New Roman" w:cs="Times New Roman"/>
          <w:sz w:val="24"/>
          <w:szCs w:val="24"/>
          <w:vertAlign w:val="subscript"/>
        </w:rPr>
        <w:t>2</w:t>
      </w:r>
      <w:r w:rsidRPr="00933A18">
        <w:rPr>
          <w:rFonts w:ascii="Times New Roman" w:eastAsia="Times New Roman" w:hAnsi="Times New Roman" w:cs="Times New Roman"/>
          <w:sz w:val="24"/>
          <w:szCs w:val="24"/>
        </w:rPr>
        <w:t xml:space="preserve"> for Ca diffusion in olivine at a given oxygen fugacity (</w:t>
      </w:r>
      <w:r w:rsidRPr="00933A18">
        <w:rPr>
          <w:rFonts w:ascii="Times New Roman" w:eastAsia="Times New Roman" w:hAnsi="Times New Roman" w:cs="Times New Roman"/>
          <w:i/>
          <w:iCs/>
          <w:sz w:val="24"/>
          <w:szCs w:val="24"/>
        </w:rPr>
        <w:t>f</w:t>
      </w:r>
      <w:r w:rsidRPr="00933A18">
        <w:rPr>
          <w:rFonts w:ascii="Times New Roman" w:eastAsia="Times New Roman" w:hAnsi="Times New Roman" w:cs="Times New Roman"/>
          <w:sz w:val="24"/>
          <w:szCs w:val="24"/>
        </w:rPr>
        <w:t>O</w:t>
      </w:r>
      <w:r w:rsidRPr="00933A18">
        <w:rPr>
          <w:rFonts w:ascii="Times New Roman" w:eastAsia="Times New Roman" w:hAnsi="Times New Roman" w:cs="Times New Roman"/>
          <w:sz w:val="24"/>
          <w:szCs w:val="24"/>
          <w:vertAlign w:val="subscript"/>
        </w:rPr>
        <w:t>2</w:t>
      </w:r>
      <w:r w:rsidRPr="00933A18">
        <w:rPr>
          <w:rFonts w:ascii="Times New Roman" w:eastAsia="Times New Roman" w:hAnsi="Times New Roman" w:cs="Times New Roman"/>
          <w:sz w:val="24"/>
          <w:szCs w:val="24"/>
        </w:rPr>
        <w:t>*) are given by:</w:t>
      </w:r>
    </w:p>
    <w:p w:rsidR="00933A18" w:rsidRPr="00933A18" w:rsidRDefault="00933A18" w:rsidP="00933A18">
      <w:pPr>
        <w:spacing w:before="100" w:beforeAutospacing="1" w:after="100" w:afterAutospacing="1" w:line="240" w:lineRule="auto"/>
        <w:rPr>
          <w:rFonts w:ascii="Times New Roman" w:eastAsia="Times New Roman" w:hAnsi="Times New Roman" w:cs="Times New Roman"/>
          <w:sz w:val="24"/>
          <w:szCs w:val="24"/>
        </w:rPr>
      </w:pPr>
      <w:r w:rsidRPr="00933A18">
        <w:rPr>
          <w:rFonts w:ascii="Times New Roman" w:eastAsia="Times New Roman" w:hAnsi="Times New Roman" w:cs="Times New Roman"/>
          <w:sz w:val="24"/>
          <w:szCs w:val="24"/>
        </w:rPr>
        <w:t>diffusion along [100]: log [Do (m</w:t>
      </w:r>
      <w:r w:rsidRPr="00933A18">
        <w:rPr>
          <w:rFonts w:ascii="Times New Roman" w:eastAsia="Times New Roman" w:hAnsi="Times New Roman" w:cs="Times New Roman"/>
          <w:sz w:val="24"/>
          <w:szCs w:val="24"/>
          <w:vertAlign w:val="superscript"/>
        </w:rPr>
        <w:t>2</w:t>
      </w:r>
      <w:r w:rsidRPr="00933A18">
        <w:rPr>
          <w:rFonts w:ascii="Times New Roman" w:eastAsia="Times New Roman" w:hAnsi="Times New Roman" w:cs="Times New Roman"/>
          <w:sz w:val="24"/>
          <w:szCs w:val="24"/>
        </w:rPr>
        <w:t>/s)] = −10.78 ± 0.43; E = 193 ± 11 kJ/mol</w:t>
      </w:r>
    </w:p>
    <w:p w:rsidR="00933A18" w:rsidRPr="00933A18" w:rsidRDefault="00933A18" w:rsidP="00933A18">
      <w:pPr>
        <w:spacing w:before="100" w:beforeAutospacing="1" w:after="100" w:afterAutospacing="1" w:line="240" w:lineRule="auto"/>
        <w:rPr>
          <w:rFonts w:ascii="Times New Roman" w:eastAsia="Times New Roman" w:hAnsi="Times New Roman" w:cs="Times New Roman"/>
          <w:sz w:val="24"/>
          <w:szCs w:val="24"/>
        </w:rPr>
      </w:pPr>
      <w:r w:rsidRPr="00933A18">
        <w:rPr>
          <w:rFonts w:ascii="Times New Roman" w:eastAsia="Times New Roman" w:hAnsi="Times New Roman" w:cs="Times New Roman"/>
          <w:sz w:val="24"/>
          <w:szCs w:val="24"/>
        </w:rPr>
        <w:t>diffusion along [010]: log [Do (m</w:t>
      </w:r>
      <w:r w:rsidRPr="00933A18">
        <w:rPr>
          <w:rFonts w:ascii="Times New Roman" w:eastAsia="Times New Roman" w:hAnsi="Times New Roman" w:cs="Times New Roman"/>
          <w:sz w:val="24"/>
          <w:szCs w:val="24"/>
          <w:vertAlign w:val="superscript"/>
        </w:rPr>
        <w:t>2</w:t>
      </w:r>
      <w:r w:rsidRPr="00933A18">
        <w:rPr>
          <w:rFonts w:ascii="Times New Roman" w:eastAsia="Times New Roman" w:hAnsi="Times New Roman" w:cs="Times New Roman"/>
          <w:sz w:val="24"/>
          <w:szCs w:val="24"/>
        </w:rPr>
        <w:t>/s)] = −10.46 ± 0.37; E = 201 ± 10 kJ/mol</w:t>
      </w:r>
    </w:p>
    <w:p w:rsidR="00933A18" w:rsidRPr="00933A18" w:rsidRDefault="00933A18" w:rsidP="00933A18">
      <w:pPr>
        <w:spacing w:before="100" w:beforeAutospacing="1" w:after="100" w:afterAutospacing="1" w:line="240" w:lineRule="auto"/>
        <w:rPr>
          <w:rFonts w:ascii="Times New Roman" w:eastAsia="Times New Roman" w:hAnsi="Times New Roman" w:cs="Times New Roman"/>
          <w:sz w:val="24"/>
          <w:szCs w:val="24"/>
        </w:rPr>
      </w:pPr>
      <w:r w:rsidRPr="00933A18">
        <w:rPr>
          <w:rFonts w:ascii="Times New Roman" w:eastAsia="Times New Roman" w:hAnsi="Times New Roman" w:cs="Times New Roman"/>
          <w:sz w:val="24"/>
          <w:szCs w:val="24"/>
        </w:rPr>
        <w:t>diffusion along [001]: log [Do (m</w:t>
      </w:r>
      <w:r w:rsidRPr="00933A18">
        <w:rPr>
          <w:rFonts w:ascii="Times New Roman" w:eastAsia="Times New Roman" w:hAnsi="Times New Roman" w:cs="Times New Roman"/>
          <w:sz w:val="24"/>
          <w:szCs w:val="24"/>
          <w:vertAlign w:val="superscript"/>
        </w:rPr>
        <w:t>2</w:t>
      </w:r>
      <w:r w:rsidRPr="00933A18">
        <w:rPr>
          <w:rFonts w:ascii="Times New Roman" w:eastAsia="Times New Roman" w:hAnsi="Times New Roman" w:cs="Times New Roman"/>
          <w:sz w:val="24"/>
          <w:szCs w:val="24"/>
        </w:rPr>
        <w:t>/s)] = −10.02 ± 0.29; E = 207 ± 8 kJ/mol</w:t>
      </w:r>
    </w:p>
    <w:p w:rsidR="00933A18" w:rsidRPr="00933A18" w:rsidRDefault="00933A18" w:rsidP="00933A18">
      <w:pPr>
        <w:spacing w:before="100" w:beforeAutospacing="1" w:after="100" w:afterAutospacing="1" w:line="240" w:lineRule="auto"/>
        <w:rPr>
          <w:rFonts w:ascii="Times New Roman" w:eastAsia="Times New Roman" w:hAnsi="Times New Roman" w:cs="Times New Roman"/>
          <w:sz w:val="24"/>
          <w:szCs w:val="24"/>
        </w:rPr>
      </w:pPr>
      <w:r w:rsidRPr="00933A18">
        <w:rPr>
          <w:rFonts w:ascii="Times New Roman" w:eastAsia="Times New Roman" w:hAnsi="Times New Roman" w:cs="Times New Roman"/>
          <w:sz w:val="24"/>
          <w:szCs w:val="24"/>
        </w:rPr>
        <w:t xml:space="preserve">where Δ log </w:t>
      </w:r>
      <w:r w:rsidRPr="00933A18">
        <w:rPr>
          <w:rFonts w:ascii="Times New Roman" w:eastAsia="Times New Roman" w:hAnsi="Times New Roman" w:cs="Times New Roman"/>
          <w:i/>
          <w:iCs/>
          <w:sz w:val="24"/>
          <w:szCs w:val="24"/>
        </w:rPr>
        <w:t>f</w:t>
      </w:r>
      <w:r w:rsidRPr="00933A18">
        <w:rPr>
          <w:rFonts w:ascii="Times New Roman" w:eastAsia="Times New Roman" w:hAnsi="Times New Roman" w:cs="Times New Roman"/>
          <w:sz w:val="24"/>
          <w:szCs w:val="24"/>
        </w:rPr>
        <w:t>O</w:t>
      </w:r>
      <w:r w:rsidRPr="00933A18">
        <w:rPr>
          <w:rFonts w:ascii="Times New Roman" w:eastAsia="Times New Roman" w:hAnsi="Times New Roman" w:cs="Times New Roman"/>
          <w:sz w:val="24"/>
          <w:szCs w:val="24"/>
          <w:vertAlign w:val="subscript"/>
        </w:rPr>
        <w:t>2</w:t>
      </w:r>
      <w:r w:rsidRPr="00933A18">
        <w:rPr>
          <w:rFonts w:ascii="Times New Roman" w:eastAsia="Times New Roman" w:hAnsi="Times New Roman" w:cs="Times New Roman"/>
          <w:sz w:val="24"/>
          <w:szCs w:val="24"/>
        </w:rPr>
        <w:t xml:space="preserve"> = log[</w:t>
      </w:r>
      <w:r w:rsidRPr="00933A18">
        <w:rPr>
          <w:rFonts w:ascii="Times New Roman" w:eastAsia="Times New Roman" w:hAnsi="Times New Roman" w:cs="Times New Roman"/>
          <w:i/>
          <w:iCs/>
          <w:sz w:val="24"/>
          <w:szCs w:val="24"/>
        </w:rPr>
        <w:t>f</w:t>
      </w:r>
      <w:r w:rsidRPr="00933A18">
        <w:rPr>
          <w:rFonts w:ascii="Times New Roman" w:eastAsia="Times New Roman" w:hAnsi="Times New Roman" w:cs="Times New Roman"/>
          <w:sz w:val="24"/>
          <w:szCs w:val="24"/>
        </w:rPr>
        <w:t>O</w:t>
      </w:r>
      <w:r w:rsidRPr="00933A18">
        <w:rPr>
          <w:rFonts w:ascii="Times New Roman" w:eastAsia="Times New Roman" w:hAnsi="Times New Roman" w:cs="Times New Roman"/>
          <w:sz w:val="24"/>
          <w:szCs w:val="24"/>
          <w:vertAlign w:val="subscript"/>
        </w:rPr>
        <w:t>2</w:t>
      </w:r>
      <w:r w:rsidRPr="00933A18">
        <w:rPr>
          <w:rFonts w:ascii="Times New Roman" w:eastAsia="Times New Roman" w:hAnsi="Times New Roman" w:cs="Times New Roman"/>
          <w:sz w:val="24"/>
          <w:szCs w:val="24"/>
        </w:rPr>
        <w:t xml:space="preserve">*] − </w:t>
      </w:r>
      <w:proofErr w:type="gramStart"/>
      <w:r w:rsidRPr="00933A18">
        <w:rPr>
          <w:rFonts w:ascii="Times New Roman" w:eastAsia="Times New Roman" w:hAnsi="Times New Roman" w:cs="Times New Roman"/>
          <w:sz w:val="24"/>
          <w:szCs w:val="24"/>
        </w:rPr>
        <w:t>log[</w:t>
      </w:r>
      <w:proofErr w:type="gramEnd"/>
      <w:r w:rsidRPr="00933A18">
        <w:rPr>
          <w:rFonts w:ascii="Times New Roman" w:eastAsia="Times New Roman" w:hAnsi="Times New Roman" w:cs="Times New Roman"/>
          <w:sz w:val="24"/>
          <w:szCs w:val="24"/>
        </w:rPr>
        <w:t>10</w:t>
      </w:r>
      <w:r w:rsidRPr="00933A18">
        <w:rPr>
          <w:rFonts w:ascii="Times New Roman" w:eastAsia="Times New Roman" w:hAnsi="Times New Roman" w:cs="Times New Roman"/>
          <w:sz w:val="24"/>
          <w:szCs w:val="24"/>
          <w:vertAlign w:val="superscript"/>
        </w:rPr>
        <w:t>−12</w:t>
      </w:r>
      <w:r w:rsidRPr="00933A18">
        <w:rPr>
          <w:rFonts w:ascii="Times New Roman" w:eastAsia="Times New Roman" w:hAnsi="Times New Roman" w:cs="Times New Roman"/>
          <w:sz w:val="24"/>
          <w:szCs w:val="24"/>
        </w:rPr>
        <w:t xml:space="preserve">] with </w:t>
      </w:r>
      <w:r w:rsidRPr="00933A18">
        <w:rPr>
          <w:rFonts w:ascii="Times New Roman" w:eastAsia="Times New Roman" w:hAnsi="Times New Roman" w:cs="Times New Roman"/>
          <w:i/>
          <w:iCs/>
          <w:sz w:val="24"/>
          <w:szCs w:val="24"/>
        </w:rPr>
        <w:t>f</w:t>
      </w:r>
      <w:r w:rsidRPr="00933A18">
        <w:rPr>
          <w:rFonts w:ascii="Times New Roman" w:eastAsia="Times New Roman" w:hAnsi="Times New Roman" w:cs="Times New Roman"/>
          <w:sz w:val="24"/>
          <w:szCs w:val="24"/>
        </w:rPr>
        <w:t>O</w:t>
      </w:r>
      <w:r w:rsidRPr="00933A18">
        <w:rPr>
          <w:rFonts w:ascii="Times New Roman" w:eastAsia="Times New Roman" w:hAnsi="Times New Roman" w:cs="Times New Roman"/>
          <w:sz w:val="24"/>
          <w:szCs w:val="24"/>
          <w:vertAlign w:val="subscript"/>
        </w:rPr>
        <w:t>2</w:t>
      </w:r>
      <w:r w:rsidRPr="00933A18">
        <w:rPr>
          <w:rFonts w:ascii="Times New Roman" w:eastAsia="Times New Roman" w:hAnsi="Times New Roman" w:cs="Times New Roman"/>
          <w:sz w:val="24"/>
          <w:szCs w:val="24"/>
        </w:rPr>
        <w:t>* in units of bars. There is no measurable compositional dependence of the diffusion coefficient between Fo</w:t>
      </w:r>
      <w:r w:rsidRPr="00933A18">
        <w:rPr>
          <w:rFonts w:ascii="Times New Roman" w:eastAsia="Times New Roman" w:hAnsi="Times New Roman" w:cs="Times New Roman"/>
          <w:sz w:val="24"/>
          <w:szCs w:val="24"/>
          <w:vertAlign w:val="subscript"/>
        </w:rPr>
        <w:t>83</w:t>
      </w:r>
      <w:r w:rsidRPr="00933A18">
        <w:rPr>
          <w:rFonts w:ascii="Times New Roman" w:eastAsia="Times New Roman" w:hAnsi="Times New Roman" w:cs="Times New Roman"/>
          <w:sz w:val="24"/>
          <w:szCs w:val="24"/>
        </w:rPr>
        <w:t xml:space="preserve"> and Fo</w:t>
      </w:r>
      <w:r w:rsidRPr="00933A18">
        <w:rPr>
          <w:rFonts w:ascii="Times New Roman" w:eastAsia="Times New Roman" w:hAnsi="Times New Roman" w:cs="Times New Roman"/>
          <w:sz w:val="24"/>
          <w:szCs w:val="24"/>
          <w:vertAlign w:val="subscript"/>
        </w:rPr>
        <w:t>92</w:t>
      </w:r>
      <w:r w:rsidRPr="00933A18">
        <w:rPr>
          <w:rFonts w:ascii="Times New Roman" w:eastAsia="Times New Roman" w:hAnsi="Times New Roman" w:cs="Times New Roman"/>
          <w:sz w:val="24"/>
          <w:szCs w:val="24"/>
        </w:rPr>
        <w:t>. Diffusion in Fo</w:t>
      </w:r>
      <w:r w:rsidRPr="00933A18">
        <w:rPr>
          <w:rFonts w:ascii="Times New Roman" w:eastAsia="Times New Roman" w:hAnsi="Times New Roman" w:cs="Times New Roman"/>
          <w:sz w:val="24"/>
          <w:szCs w:val="24"/>
          <w:vertAlign w:val="subscript"/>
        </w:rPr>
        <w:t>100</w:t>
      </w:r>
      <w:r w:rsidRPr="00933A18">
        <w:rPr>
          <w:rFonts w:ascii="Times New Roman" w:eastAsia="Times New Roman" w:hAnsi="Times New Roman" w:cs="Times New Roman"/>
          <w:sz w:val="24"/>
          <w:szCs w:val="24"/>
        </w:rPr>
        <w:t xml:space="preserve"> has a much higher activation energy than in Fe-bearing olivine and has a weaker </w:t>
      </w:r>
      <w:r w:rsidRPr="00933A18">
        <w:rPr>
          <w:rFonts w:ascii="Times New Roman" w:eastAsia="Times New Roman" w:hAnsi="Times New Roman" w:cs="Times New Roman"/>
          <w:i/>
          <w:iCs/>
          <w:sz w:val="24"/>
          <w:szCs w:val="24"/>
        </w:rPr>
        <w:t>f</w:t>
      </w:r>
      <w:r w:rsidRPr="00933A18">
        <w:rPr>
          <w:rFonts w:ascii="Times New Roman" w:eastAsia="Times New Roman" w:hAnsi="Times New Roman" w:cs="Times New Roman"/>
          <w:sz w:val="24"/>
          <w:szCs w:val="24"/>
        </w:rPr>
        <w:t>O</w:t>
      </w:r>
      <w:r w:rsidRPr="00933A18">
        <w:rPr>
          <w:rFonts w:ascii="Times New Roman" w:eastAsia="Times New Roman" w:hAnsi="Times New Roman" w:cs="Times New Roman"/>
          <w:sz w:val="24"/>
          <w:szCs w:val="24"/>
          <w:vertAlign w:val="subscript"/>
        </w:rPr>
        <w:t>2</w:t>
      </w:r>
      <w:r w:rsidRPr="00933A18">
        <w:rPr>
          <w:rFonts w:ascii="Times New Roman" w:eastAsia="Times New Roman" w:hAnsi="Times New Roman" w:cs="Times New Roman"/>
          <w:sz w:val="24"/>
          <w:szCs w:val="24"/>
        </w:rPr>
        <w:t xml:space="preserve"> dependence.</w:t>
      </w:r>
    </w:p>
    <w:p w:rsidR="00933A18" w:rsidRPr="00933A18" w:rsidRDefault="00933A18" w:rsidP="00933A18">
      <w:pPr>
        <w:spacing w:before="100" w:beforeAutospacing="1" w:after="100" w:afterAutospacing="1" w:line="240" w:lineRule="auto"/>
        <w:outlineLvl w:val="1"/>
        <w:rPr>
          <w:rFonts w:ascii="Times New Roman" w:eastAsia="Times New Roman" w:hAnsi="Times New Roman" w:cs="Times New Roman"/>
          <w:b/>
          <w:bCs/>
          <w:sz w:val="36"/>
          <w:szCs w:val="36"/>
        </w:rPr>
      </w:pPr>
      <w:r w:rsidRPr="00933A18">
        <w:rPr>
          <w:rFonts w:ascii="Times New Roman" w:eastAsia="Times New Roman" w:hAnsi="Times New Roman" w:cs="Times New Roman"/>
          <w:b/>
          <w:bCs/>
          <w:sz w:val="36"/>
          <w:szCs w:val="36"/>
        </w:rPr>
        <w:t>Introduction</w:t>
      </w:r>
    </w:p>
    <w:p w:rsidR="00933A18" w:rsidRPr="00933A18" w:rsidRDefault="00933A18" w:rsidP="00933A18">
      <w:pPr>
        <w:spacing w:before="100" w:beforeAutospacing="1" w:after="100" w:afterAutospacing="1" w:line="240" w:lineRule="auto"/>
        <w:rPr>
          <w:rFonts w:ascii="Times New Roman" w:eastAsia="Times New Roman" w:hAnsi="Times New Roman" w:cs="Times New Roman"/>
          <w:sz w:val="24"/>
          <w:szCs w:val="24"/>
        </w:rPr>
      </w:pPr>
      <w:r w:rsidRPr="00933A18">
        <w:rPr>
          <w:rFonts w:ascii="Times New Roman" w:eastAsia="Times New Roman" w:hAnsi="Times New Roman" w:cs="Times New Roman"/>
          <w:sz w:val="24"/>
          <w:szCs w:val="24"/>
        </w:rPr>
        <w:t xml:space="preserve">Modelling of diffusive Ca exchange between olivine and clinopyroxene during cooling provides a potential method to determine the cooling rate of olivine and clinopyroxene bearing samples ranging from meteorites (Kohler et al 1991, Zipfel 1994) through to olivine </w:t>
      </w:r>
      <w:proofErr w:type="spellStart"/>
      <w:r w:rsidRPr="00933A18">
        <w:rPr>
          <w:rFonts w:ascii="Times New Roman" w:eastAsia="Times New Roman" w:hAnsi="Times New Roman" w:cs="Times New Roman"/>
          <w:sz w:val="24"/>
          <w:szCs w:val="24"/>
        </w:rPr>
        <w:t>gabbros</w:t>
      </w:r>
      <w:proofErr w:type="spellEnd"/>
      <w:r w:rsidRPr="00933A18">
        <w:rPr>
          <w:rFonts w:ascii="Times New Roman" w:eastAsia="Times New Roman" w:hAnsi="Times New Roman" w:cs="Times New Roman"/>
          <w:sz w:val="24"/>
          <w:szCs w:val="24"/>
        </w:rPr>
        <w:t xml:space="preserve"> (Coogan et al., 2002) and mantle lherzolites (Zipfel and </w:t>
      </w:r>
      <w:proofErr w:type="spellStart"/>
      <w:r w:rsidRPr="00933A18">
        <w:rPr>
          <w:rFonts w:ascii="Times New Roman" w:eastAsia="Times New Roman" w:hAnsi="Times New Roman" w:cs="Times New Roman"/>
          <w:sz w:val="24"/>
          <w:szCs w:val="24"/>
        </w:rPr>
        <w:t>Worner</w:t>
      </w:r>
      <w:proofErr w:type="spellEnd"/>
      <w:r w:rsidRPr="00933A18">
        <w:rPr>
          <w:rFonts w:ascii="Times New Roman" w:eastAsia="Times New Roman" w:hAnsi="Times New Roman" w:cs="Times New Roman"/>
          <w:sz w:val="24"/>
          <w:szCs w:val="24"/>
        </w:rPr>
        <w:t xml:space="preserve">, 1992). The temperature dependence of this exchange has been calibrated (Kohler and Brey, 1990). However, previous studies of the diffusion coefficient for calcium in olivine have produced widely different results. In particular, reported activation energies range from </w:t>
      </w:r>
      <w:r w:rsidRPr="00933A18">
        <w:rPr>
          <w:rFonts w:ascii="Cambria Math" w:eastAsia="Times New Roman" w:hAnsi="Cambria Math" w:cs="Cambria Math"/>
          <w:sz w:val="24"/>
          <w:szCs w:val="24"/>
        </w:rPr>
        <w:t>∼</w:t>
      </w:r>
      <w:r w:rsidRPr="00933A18">
        <w:rPr>
          <w:rFonts w:ascii="Times New Roman" w:eastAsia="Times New Roman" w:hAnsi="Times New Roman" w:cs="Times New Roman"/>
          <w:sz w:val="24"/>
          <w:szCs w:val="24"/>
        </w:rPr>
        <w:t>460 kJ/mol (Gaetani et al., 2002) to &lt;200 kJ/mol (</w:t>
      </w:r>
      <w:proofErr w:type="spellStart"/>
      <w:r w:rsidRPr="00933A18">
        <w:rPr>
          <w:rFonts w:ascii="Times New Roman" w:eastAsia="Times New Roman" w:hAnsi="Times New Roman" w:cs="Times New Roman"/>
          <w:sz w:val="24"/>
          <w:szCs w:val="24"/>
        </w:rPr>
        <w:t>Jurewicz</w:t>
      </w:r>
      <w:proofErr w:type="spellEnd"/>
      <w:r w:rsidRPr="00933A18">
        <w:rPr>
          <w:rFonts w:ascii="Times New Roman" w:eastAsia="Times New Roman" w:hAnsi="Times New Roman" w:cs="Times New Roman"/>
          <w:sz w:val="24"/>
          <w:szCs w:val="24"/>
        </w:rPr>
        <w:t xml:space="preserve"> and Watson, 1988) leading to large discrepancies in cooling rates when the diffusion data are extrapolated to low temperatures. To address this </w:t>
      </w:r>
      <w:proofErr w:type="gramStart"/>
      <w:r w:rsidRPr="00933A18">
        <w:rPr>
          <w:rFonts w:ascii="Times New Roman" w:eastAsia="Times New Roman" w:hAnsi="Times New Roman" w:cs="Times New Roman"/>
          <w:sz w:val="24"/>
          <w:szCs w:val="24"/>
        </w:rPr>
        <w:t>issue</w:t>
      </w:r>
      <w:proofErr w:type="gramEnd"/>
      <w:r w:rsidRPr="00933A18">
        <w:rPr>
          <w:rFonts w:ascii="Times New Roman" w:eastAsia="Times New Roman" w:hAnsi="Times New Roman" w:cs="Times New Roman"/>
          <w:sz w:val="24"/>
          <w:szCs w:val="24"/>
        </w:rPr>
        <w:t xml:space="preserve"> we have undertaken a series of diffusion experiments to better constrain the Ca diffusion coefficient in olivine.</w:t>
      </w:r>
    </w:p>
    <w:p w:rsidR="00933A18" w:rsidRPr="00933A18" w:rsidRDefault="00933A18" w:rsidP="00933A18">
      <w:pPr>
        <w:spacing w:before="100" w:beforeAutospacing="1" w:after="100" w:afterAutospacing="1" w:line="240" w:lineRule="auto"/>
        <w:rPr>
          <w:rFonts w:ascii="Times New Roman" w:eastAsia="Times New Roman" w:hAnsi="Times New Roman" w:cs="Times New Roman"/>
          <w:sz w:val="24"/>
          <w:szCs w:val="24"/>
        </w:rPr>
      </w:pPr>
      <w:r w:rsidRPr="00933A18">
        <w:rPr>
          <w:rFonts w:ascii="Times New Roman" w:eastAsia="Times New Roman" w:hAnsi="Times New Roman" w:cs="Times New Roman"/>
          <w:sz w:val="24"/>
          <w:szCs w:val="24"/>
        </w:rPr>
        <w:lastRenderedPageBreak/>
        <w:t xml:space="preserve">The earliest investigation of the diffusion of Ca in olivine was undertaken by Morioka (1981), who studied the diffusion of a number of cations, including Ca, in pure (synthetic) forsterite. These experiments were performed in air at one atmosphere total pressure. Because of the importance of redox reactions involving Fe in creating the vacancies that allow diffusion in natural olivine (e.g., Stocker and Smyth 1978, Nakamura and </w:t>
      </w:r>
      <w:proofErr w:type="spellStart"/>
      <w:r w:rsidRPr="00933A18">
        <w:rPr>
          <w:rFonts w:ascii="Times New Roman" w:eastAsia="Times New Roman" w:hAnsi="Times New Roman" w:cs="Times New Roman"/>
          <w:sz w:val="24"/>
          <w:szCs w:val="24"/>
        </w:rPr>
        <w:t>Schmalried</w:t>
      </w:r>
      <w:proofErr w:type="spellEnd"/>
      <w:r w:rsidRPr="00933A18">
        <w:rPr>
          <w:rFonts w:ascii="Times New Roman" w:eastAsia="Times New Roman" w:hAnsi="Times New Roman" w:cs="Times New Roman"/>
          <w:sz w:val="24"/>
          <w:szCs w:val="24"/>
        </w:rPr>
        <w:t xml:space="preserve"> 1983, Chakraborty 1997), Morioka’s experiments are not expected to be of direct relevance to Ca diffusion in most natural </w:t>
      </w:r>
      <w:proofErr w:type="spellStart"/>
      <w:r w:rsidRPr="00933A18">
        <w:rPr>
          <w:rFonts w:ascii="Times New Roman" w:eastAsia="Times New Roman" w:hAnsi="Times New Roman" w:cs="Times New Roman"/>
          <w:sz w:val="24"/>
          <w:szCs w:val="24"/>
        </w:rPr>
        <w:t>olivines</w:t>
      </w:r>
      <w:proofErr w:type="spellEnd"/>
      <w:r w:rsidRPr="00933A18">
        <w:rPr>
          <w:rFonts w:ascii="Times New Roman" w:eastAsia="Times New Roman" w:hAnsi="Times New Roman" w:cs="Times New Roman"/>
          <w:sz w:val="24"/>
          <w:szCs w:val="24"/>
        </w:rPr>
        <w:t xml:space="preserve">. </w:t>
      </w:r>
      <w:proofErr w:type="spellStart"/>
      <w:r w:rsidRPr="00933A18">
        <w:rPr>
          <w:rFonts w:ascii="Times New Roman" w:eastAsia="Times New Roman" w:hAnsi="Times New Roman" w:cs="Times New Roman"/>
          <w:sz w:val="24"/>
          <w:szCs w:val="24"/>
        </w:rPr>
        <w:t>Jurewicz</w:t>
      </w:r>
      <w:proofErr w:type="spellEnd"/>
      <w:r w:rsidRPr="00933A18">
        <w:rPr>
          <w:rFonts w:ascii="Times New Roman" w:eastAsia="Times New Roman" w:hAnsi="Times New Roman" w:cs="Times New Roman"/>
          <w:sz w:val="24"/>
          <w:szCs w:val="24"/>
        </w:rPr>
        <w:t xml:space="preserve"> and Watson (1988) investigated calcium diffusion in olivine between 1350°C and 1220°C. They used a basaltic melt as a source of calcium in experiments performed at an oxygen fugacity of 10</w:t>
      </w:r>
      <w:r w:rsidRPr="00933A18">
        <w:rPr>
          <w:rFonts w:ascii="Times New Roman" w:eastAsia="Times New Roman" w:hAnsi="Times New Roman" w:cs="Times New Roman"/>
          <w:sz w:val="24"/>
          <w:szCs w:val="24"/>
          <w:vertAlign w:val="superscript"/>
        </w:rPr>
        <w:t>−8</w:t>
      </w:r>
      <w:r w:rsidRPr="00933A18">
        <w:rPr>
          <w:rFonts w:ascii="Times New Roman" w:eastAsia="Times New Roman" w:hAnsi="Times New Roman" w:cs="Times New Roman"/>
          <w:sz w:val="24"/>
          <w:szCs w:val="24"/>
        </w:rPr>
        <w:t xml:space="preserve"> bar. They found activation energies between 175 and 230 kJ/mol and preexponential factors between 2.3 × 10</w:t>
      </w:r>
      <w:r w:rsidRPr="00933A18">
        <w:rPr>
          <w:rFonts w:ascii="Times New Roman" w:eastAsia="Times New Roman" w:hAnsi="Times New Roman" w:cs="Times New Roman"/>
          <w:sz w:val="24"/>
          <w:szCs w:val="24"/>
          <w:vertAlign w:val="superscript"/>
        </w:rPr>
        <w:t>−8</w:t>
      </w:r>
      <w:r w:rsidRPr="00933A18">
        <w:rPr>
          <w:rFonts w:ascii="Times New Roman" w:eastAsia="Times New Roman" w:hAnsi="Times New Roman" w:cs="Times New Roman"/>
          <w:sz w:val="24"/>
          <w:szCs w:val="24"/>
        </w:rPr>
        <w:t xml:space="preserve"> and 7 × 10</w:t>
      </w:r>
      <w:r w:rsidRPr="00933A18">
        <w:rPr>
          <w:rFonts w:ascii="Times New Roman" w:eastAsia="Times New Roman" w:hAnsi="Times New Roman" w:cs="Times New Roman"/>
          <w:sz w:val="24"/>
          <w:szCs w:val="24"/>
          <w:vertAlign w:val="superscript"/>
        </w:rPr>
        <w:t>−10</w:t>
      </w:r>
      <w:r w:rsidRPr="00933A18">
        <w:rPr>
          <w:rFonts w:ascii="Times New Roman" w:eastAsia="Times New Roman" w:hAnsi="Times New Roman" w:cs="Times New Roman"/>
          <w:sz w:val="24"/>
          <w:szCs w:val="24"/>
        </w:rPr>
        <w:t xml:space="preserve"> m</w:t>
      </w:r>
      <w:r w:rsidRPr="00933A18">
        <w:rPr>
          <w:rFonts w:ascii="Times New Roman" w:eastAsia="Times New Roman" w:hAnsi="Times New Roman" w:cs="Times New Roman"/>
          <w:sz w:val="24"/>
          <w:szCs w:val="24"/>
          <w:vertAlign w:val="superscript"/>
        </w:rPr>
        <w:t>2</w:t>
      </w:r>
      <w:r w:rsidRPr="00933A18">
        <w:rPr>
          <w:rFonts w:ascii="Times New Roman" w:eastAsia="Times New Roman" w:hAnsi="Times New Roman" w:cs="Times New Roman"/>
          <w:sz w:val="24"/>
          <w:szCs w:val="24"/>
        </w:rPr>
        <w:t xml:space="preserve"> s</w:t>
      </w:r>
      <w:r w:rsidRPr="00933A18">
        <w:rPr>
          <w:rFonts w:ascii="Times New Roman" w:eastAsia="Times New Roman" w:hAnsi="Times New Roman" w:cs="Times New Roman"/>
          <w:sz w:val="24"/>
          <w:szCs w:val="24"/>
          <w:vertAlign w:val="superscript"/>
        </w:rPr>
        <w:t>−1</w:t>
      </w:r>
      <w:r w:rsidRPr="00933A18">
        <w:rPr>
          <w:rFonts w:ascii="Times New Roman" w:eastAsia="Times New Roman" w:hAnsi="Times New Roman" w:cs="Times New Roman"/>
          <w:sz w:val="24"/>
          <w:szCs w:val="24"/>
        </w:rPr>
        <w:t xml:space="preserve"> for the three crystallographic axes. Subsequently Miyamoto and </w:t>
      </w:r>
      <w:proofErr w:type="spellStart"/>
      <w:r w:rsidRPr="00933A18">
        <w:rPr>
          <w:rFonts w:ascii="Times New Roman" w:eastAsia="Times New Roman" w:hAnsi="Times New Roman" w:cs="Times New Roman"/>
          <w:sz w:val="24"/>
          <w:szCs w:val="24"/>
        </w:rPr>
        <w:t>Mikouchi</w:t>
      </w:r>
      <w:proofErr w:type="spellEnd"/>
      <w:r w:rsidRPr="00933A18">
        <w:rPr>
          <w:rFonts w:ascii="Times New Roman" w:eastAsia="Times New Roman" w:hAnsi="Times New Roman" w:cs="Times New Roman"/>
          <w:sz w:val="24"/>
          <w:szCs w:val="24"/>
        </w:rPr>
        <w:t xml:space="preserve"> (1998) undertook a single experiment with a similar design to that of </w:t>
      </w:r>
      <w:proofErr w:type="spellStart"/>
      <w:r w:rsidRPr="00933A18">
        <w:rPr>
          <w:rFonts w:ascii="Times New Roman" w:eastAsia="Times New Roman" w:hAnsi="Times New Roman" w:cs="Times New Roman"/>
          <w:sz w:val="24"/>
          <w:szCs w:val="24"/>
        </w:rPr>
        <w:t>Jurewicz</w:t>
      </w:r>
      <w:proofErr w:type="spellEnd"/>
      <w:r w:rsidRPr="00933A18">
        <w:rPr>
          <w:rFonts w:ascii="Times New Roman" w:eastAsia="Times New Roman" w:hAnsi="Times New Roman" w:cs="Times New Roman"/>
          <w:sz w:val="24"/>
          <w:szCs w:val="24"/>
        </w:rPr>
        <w:t xml:space="preserve"> and Watson at 1250°C and obtained data consistent with the diffusion coefficient of </w:t>
      </w:r>
      <w:proofErr w:type="spellStart"/>
      <w:r w:rsidRPr="00933A18">
        <w:rPr>
          <w:rFonts w:ascii="Times New Roman" w:eastAsia="Times New Roman" w:hAnsi="Times New Roman" w:cs="Times New Roman"/>
          <w:sz w:val="24"/>
          <w:szCs w:val="24"/>
        </w:rPr>
        <w:t>Jurewicz</w:t>
      </w:r>
      <w:proofErr w:type="spellEnd"/>
      <w:r w:rsidRPr="00933A18">
        <w:rPr>
          <w:rFonts w:ascii="Times New Roman" w:eastAsia="Times New Roman" w:hAnsi="Times New Roman" w:cs="Times New Roman"/>
          <w:sz w:val="24"/>
          <w:szCs w:val="24"/>
        </w:rPr>
        <w:t xml:space="preserve"> and Watson (1988). Petry et al. (2004) retrieved some Ca diffusion data from their experiments designed to measure Ni diffusion coefficients. Results from this work, along with two other studies of Ca-diffusion in olivine that have only been reported in abstract form (Stahl et al 1998, Gaetani et al 2002) are discussed below.</w:t>
      </w:r>
    </w:p>
    <w:p w:rsidR="00933A18" w:rsidRPr="00933A18" w:rsidRDefault="00933A18" w:rsidP="00933A18">
      <w:pPr>
        <w:spacing w:before="100" w:beforeAutospacing="1" w:after="100" w:afterAutospacing="1" w:line="240" w:lineRule="auto"/>
        <w:rPr>
          <w:rFonts w:ascii="Times New Roman" w:eastAsia="Times New Roman" w:hAnsi="Times New Roman" w:cs="Times New Roman"/>
          <w:sz w:val="24"/>
          <w:szCs w:val="24"/>
        </w:rPr>
      </w:pPr>
      <w:r w:rsidRPr="00933A18">
        <w:rPr>
          <w:rFonts w:ascii="Times New Roman" w:eastAsia="Times New Roman" w:hAnsi="Times New Roman" w:cs="Times New Roman"/>
          <w:sz w:val="24"/>
          <w:szCs w:val="24"/>
        </w:rPr>
        <w:t xml:space="preserve">Calcium is essentially restricted to only one (M2) of the two available octahedral sites in olivine. This aspect makes it a unique divalent cation among those commonly found in natural </w:t>
      </w:r>
      <w:proofErr w:type="spellStart"/>
      <w:r w:rsidRPr="00933A18">
        <w:rPr>
          <w:rFonts w:ascii="Times New Roman" w:eastAsia="Times New Roman" w:hAnsi="Times New Roman" w:cs="Times New Roman"/>
          <w:sz w:val="24"/>
          <w:szCs w:val="24"/>
        </w:rPr>
        <w:t>olivines</w:t>
      </w:r>
      <w:proofErr w:type="spellEnd"/>
      <w:r w:rsidRPr="00933A18">
        <w:rPr>
          <w:rFonts w:ascii="Times New Roman" w:eastAsia="Times New Roman" w:hAnsi="Times New Roman" w:cs="Times New Roman"/>
          <w:sz w:val="24"/>
          <w:szCs w:val="24"/>
        </w:rPr>
        <w:t xml:space="preserve"> (Fe, Mg, Mn, Ni, Co) and it could be expected that its diffusion </w:t>
      </w:r>
      <w:proofErr w:type="spellStart"/>
      <w:r w:rsidRPr="00933A18">
        <w:rPr>
          <w:rFonts w:ascii="Times New Roman" w:eastAsia="Times New Roman" w:hAnsi="Times New Roman" w:cs="Times New Roman"/>
          <w:sz w:val="24"/>
          <w:szCs w:val="24"/>
        </w:rPr>
        <w:t>behaviour</w:t>
      </w:r>
      <w:proofErr w:type="spellEnd"/>
      <w:r w:rsidRPr="00933A18">
        <w:rPr>
          <w:rFonts w:ascii="Times New Roman" w:eastAsia="Times New Roman" w:hAnsi="Times New Roman" w:cs="Times New Roman"/>
          <w:sz w:val="24"/>
          <w:szCs w:val="24"/>
        </w:rPr>
        <w:t xml:space="preserve"> may be different from that of these other cations which are distributed, to varying degrees, over both (M1 and M2) octahedral sites.</w:t>
      </w:r>
    </w:p>
    <w:p w:rsidR="00933A18" w:rsidRPr="00933A18" w:rsidRDefault="00933A18" w:rsidP="00933A18">
      <w:pPr>
        <w:spacing w:before="100" w:beforeAutospacing="1" w:after="100" w:afterAutospacing="1" w:line="240" w:lineRule="auto"/>
        <w:outlineLvl w:val="1"/>
        <w:rPr>
          <w:rFonts w:ascii="Times New Roman" w:eastAsia="Times New Roman" w:hAnsi="Times New Roman" w:cs="Times New Roman"/>
          <w:b/>
          <w:bCs/>
          <w:sz w:val="36"/>
          <w:szCs w:val="36"/>
        </w:rPr>
      </w:pPr>
      <w:r w:rsidRPr="00933A18">
        <w:rPr>
          <w:rFonts w:ascii="Times New Roman" w:eastAsia="Times New Roman" w:hAnsi="Times New Roman" w:cs="Times New Roman"/>
          <w:b/>
          <w:bCs/>
          <w:sz w:val="36"/>
          <w:szCs w:val="36"/>
        </w:rPr>
        <w:t>Section snippets</w:t>
      </w:r>
    </w:p>
    <w:p w:rsidR="00933A18" w:rsidRPr="00933A18" w:rsidRDefault="00933A18" w:rsidP="00933A18">
      <w:pPr>
        <w:spacing w:before="100" w:beforeAutospacing="1" w:after="100" w:afterAutospacing="1" w:line="240" w:lineRule="auto"/>
        <w:outlineLvl w:val="1"/>
        <w:rPr>
          <w:rFonts w:ascii="Times New Roman" w:eastAsia="Times New Roman" w:hAnsi="Times New Roman" w:cs="Times New Roman"/>
          <w:b/>
          <w:bCs/>
          <w:sz w:val="36"/>
          <w:szCs w:val="36"/>
        </w:rPr>
      </w:pPr>
      <w:r w:rsidRPr="00933A18">
        <w:rPr>
          <w:rFonts w:ascii="Times New Roman" w:eastAsia="Times New Roman" w:hAnsi="Times New Roman" w:cs="Times New Roman"/>
          <w:b/>
          <w:bCs/>
          <w:sz w:val="36"/>
          <w:szCs w:val="36"/>
        </w:rPr>
        <w:t>Experimental methodology</w:t>
      </w:r>
    </w:p>
    <w:p w:rsidR="00933A18" w:rsidRPr="00933A18" w:rsidRDefault="00933A18" w:rsidP="00933A18">
      <w:pPr>
        <w:spacing w:before="100" w:beforeAutospacing="1" w:after="100" w:afterAutospacing="1" w:line="240" w:lineRule="auto"/>
        <w:rPr>
          <w:rFonts w:ascii="Times New Roman" w:eastAsia="Times New Roman" w:hAnsi="Times New Roman" w:cs="Times New Roman"/>
          <w:sz w:val="24"/>
          <w:szCs w:val="24"/>
        </w:rPr>
      </w:pPr>
      <w:r w:rsidRPr="00933A18">
        <w:rPr>
          <w:rFonts w:ascii="Times New Roman" w:eastAsia="Times New Roman" w:hAnsi="Times New Roman" w:cs="Times New Roman"/>
          <w:sz w:val="24"/>
          <w:szCs w:val="24"/>
        </w:rPr>
        <w:t>The data reported here come from two separate studies, one at higher (1100 to 1500°C) and one at lower temperature (900 to 1200°C), that used different approaches. The methods used are described separately below.</w:t>
      </w:r>
    </w:p>
    <w:p w:rsidR="00933A18" w:rsidRPr="00933A18" w:rsidRDefault="00933A18" w:rsidP="00933A18">
      <w:pPr>
        <w:spacing w:before="100" w:beforeAutospacing="1" w:after="100" w:afterAutospacing="1" w:line="240" w:lineRule="auto"/>
        <w:outlineLvl w:val="1"/>
        <w:rPr>
          <w:rFonts w:ascii="Times New Roman" w:eastAsia="Times New Roman" w:hAnsi="Times New Roman" w:cs="Times New Roman"/>
          <w:b/>
          <w:bCs/>
          <w:sz w:val="36"/>
          <w:szCs w:val="36"/>
        </w:rPr>
      </w:pPr>
      <w:r w:rsidRPr="00933A18">
        <w:rPr>
          <w:rFonts w:ascii="Times New Roman" w:eastAsia="Times New Roman" w:hAnsi="Times New Roman" w:cs="Times New Roman"/>
          <w:b/>
          <w:bCs/>
          <w:sz w:val="36"/>
          <w:szCs w:val="36"/>
        </w:rPr>
        <w:t>Modelling diffusion profiles</w:t>
      </w:r>
    </w:p>
    <w:p w:rsidR="00933A18" w:rsidRPr="00933A18" w:rsidRDefault="00933A18" w:rsidP="00933A18">
      <w:pPr>
        <w:spacing w:before="100" w:beforeAutospacing="1" w:after="100" w:afterAutospacing="1" w:line="240" w:lineRule="auto"/>
        <w:rPr>
          <w:rFonts w:ascii="Times New Roman" w:eastAsia="Times New Roman" w:hAnsi="Times New Roman" w:cs="Times New Roman"/>
          <w:sz w:val="24"/>
          <w:szCs w:val="24"/>
        </w:rPr>
      </w:pPr>
      <w:r w:rsidRPr="00933A18">
        <w:rPr>
          <w:rFonts w:ascii="Times New Roman" w:eastAsia="Times New Roman" w:hAnsi="Times New Roman" w:cs="Times New Roman"/>
          <w:sz w:val="24"/>
          <w:szCs w:val="24"/>
        </w:rPr>
        <w:t xml:space="preserve">The profiles from the </w:t>
      </w:r>
      <w:r w:rsidRPr="00933A18">
        <w:rPr>
          <w:rFonts w:ascii="Times New Roman" w:eastAsia="Times New Roman" w:hAnsi="Times New Roman" w:cs="Times New Roman"/>
          <w:i/>
          <w:iCs/>
          <w:sz w:val="24"/>
          <w:szCs w:val="24"/>
        </w:rPr>
        <w:t>first set</w:t>
      </w:r>
      <w:r w:rsidRPr="00933A18">
        <w:rPr>
          <w:rFonts w:ascii="Times New Roman" w:eastAsia="Times New Roman" w:hAnsi="Times New Roman" w:cs="Times New Roman"/>
          <w:sz w:val="24"/>
          <w:szCs w:val="24"/>
        </w:rPr>
        <w:t xml:space="preserve"> of experiments were fitted using a thin film solution to the diffusion equation </w:t>
      </w:r>
    </w:p>
    <w:p w:rsidR="00933A18" w:rsidRPr="00933A18" w:rsidRDefault="00933A18" w:rsidP="00933A18">
      <w:pPr>
        <w:spacing w:before="100" w:beforeAutospacing="1" w:after="100" w:afterAutospacing="1" w:line="240" w:lineRule="auto"/>
        <w:rPr>
          <w:rFonts w:ascii="Times New Roman" w:eastAsia="Times New Roman" w:hAnsi="Times New Roman" w:cs="Times New Roman"/>
          <w:sz w:val="24"/>
          <w:szCs w:val="24"/>
        </w:rPr>
      </w:pPr>
      <w:r w:rsidRPr="00933A18">
        <w:rPr>
          <w:rFonts w:ascii="Times New Roman" w:eastAsia="Times New Roman" w:hAnsi="Times New Roman" w:cs="Times New Roman"/>
          <w:sz w:val="24"/>
          <w:szCs w:val="24"/>
        </w:rPr>
        <w:t>where C(</w:t>
      </w:r>
      <w:proofErr w:type="spellStart"/>
      <w:proofErr w:type="gramStart"/>
      <w:r w:rsidRPr="00933A18">
        <w:rPr>
          <w:rFonts w:ascii="Times New Roman" w:eastAsia="Times New Roman" w:hAnsi="Times New Roman" w:cs="Times New Roman"/>
          <w:sz w:val="24"/>
          <w:szCs w:val="24"/>
        </w:rPr>
        <w:t>x,t</w:t>
      </w:r>
      <w:proofErr w:type="spellEnd"/>
      <w:proofErr w:type="gramEnd"/>
      <w:r w:rsidRPr="00933A18">
        <w:rPr>
          <w:rFonts w:ascii="Times New Roman" w:eastAsia="Times New Roman" w:hAnsi="Times New Roman" w:cs="Times New Roman"/>
          <w:sz w:val="24"/>
          <w:szCs w:val="24"/>
        </w:rPr>
        <w:t>) is the concentration at distance x from the surface at time t, D is the diffusion coefficient, and M is a constant related to the mass of tracer deposited initially on the surface. A typical diffusion profile with a fit is shown in Fig. 1a/b. Diffusion coefficients retrieved from these experiments are reported in Table 2.</w:t>
      </w:r>
    </w:p>
    <w:p w:rsidR="00933A18" w:rsidRPr="00933A18" w:rsidRDefault="00933A18" w:rsidP="00933A18">
      <w:pPr>
        <w:spacing w:before="100" w:beforeAutospacing="1" w:after="100" w:afterAutospacing="1" w:line="240" w:lineRule="auto"/>
        <w:rPr>
          <w:rFonts w:ascii="Times New Roman" w:eastAsia="Times New Roman" w:hAnsi="Times New Roman" w:cs="Times New Roman"/>
          <w:sz w:val="24"/>
          <w:szCs w:val="24"/>
        </w:rPr>
      </w:pPr>
      <w:r w:rsidRPr="00933A18">
        <w:rPr>
          <w:rFonts w:ascii="Times New Roman" w:eastAsia="Times New Roman" w:hAnsi="Times New Roman" w:cs="Times New Roman"/>
          <w:sz w:val="24"/>
          <w:szCs w:val="24"/>
        </w:rPr>
        <w:t xml:space="preserve">For the </w:t>
      </w:r>
      <w:r w:rsidRPr="00933A18">
        <w:rPr>
          <w:rFonts w:ascii="Times New Roman" w:eastAsia="Times New Roman" w:hAnsi="Times New Roman" w:cs="Times New Roman"/>
          <w:i/>
          <w:iCs/>
          <w:sz w:val="24"/>
          <w:szCs w:val="24"/>
        </w:rPr>
        <w:t>second set</w:t>
      </w:r>
      <w:r w:rsidRPr="00933A18">
        <w:rPr>
          <w:rFonts w:ascii="Times New Roman" w:eastAsia="Times New Roman" w:hAnsi="Times New Roman" w:cs="Times New Roman"/>
          <w:sz w:val="24"/>
          <w:szCs w:val="24"/>
        </w:rPr>
        <w:t xml:space="preserve"> </w:t>
      </w:r>
    </w:p>
    <w:p w:rsidR="00933A18" w:rsidRPr="00933A18" w:rsidRDefault="00933A18" w:rsidP="00933A18">
      <w:pPr>
        <w:spacing w:before="100" w:beforeAutospacing="1" w:after="100" w:afterAutospacing="1" w:line="240" w:lineRule="auto"/>
        <w:outlineLvl w:val="1"/>
        <w:rPr>
          <w:rFonts w:ascii="Times New Roman" w:eastAsia="Times New Roman" w:hAnsi="Times New Roman" w:cs="Times New Roman"/>
          <w:b/>
          <w:bCs/>
          <w:sz w:val="36"/>
          <w:szCs w:val="36"/>
        </w:rPr>
      </w:pPr>
      <w:r w:rsidRPr="00933A18">
        <w:rPr>
          <w:rFonts w:ascii="Times New Roman" w:eastAsia="Times New Roman" w:hAnsi="Times New Roman" w:cs="Times New Roman"/>
          <w:b/>
          <w:bCs/>
          <w:sz w:val="36"/>
          <w:szCs w:val="36"/>
        </w:rPr>
        <w:t>The diffusion coefficients</w:t>
      </w:r>
    </w:p>
    <w:p w:rsidR="00933A18" w:rsidRPr="00933A18" w:rsidRDefault="00933A18" w:rsidP="00933A18">
      <w:pPr>
        <w:spacing w:before="100" w:beforeAutospacing="1" w:after="100" w:afterAutospacing="1" w:line="240" w:lineRule="auto"/>
        <w:rPr>
          <w:rFonts w:ascii="Times New Roman" w:eastAsia="Times New Roman" w:hAnsi="Times New Roman" w:cs="Times New Roman"/>
          <w:sz w:val="24"/>
          <w:szCs w:val="24"/>
        </w:rPr>
      </w:pPr>
      <w:r w:rsidRPr="00933A18">
        <w:rPr>
          <w:rFonts w:ascii="Times New Roman" w:eastAsia="Times New Roman" w:hAnsi="Times New Roman" w:cs="Times New Roman"/>
          <w:sz w:val="24"/>
          <w:szCs w:val="24"/>
        </w:rPr>
        <w:t xml:space="preserve">The vast majority of the experiments were performed on San Carlos olivine with a forsterite content of </w:t>
      </w:r>
      <w:r w:rsidRPr="00933A18">
        <w:rPr>
          <w:rFonts w:ascii="Cambria Math" w:eastAsia="Times New Roman" w:hAnsi="Cambria Math" w:cs="Cambria Math"/>
          <w:sz w:val="24"/>
          <w:szCs w:val="24"/>
        </w:rPr>
        <w:t>∼</w:t>
      </w:r>
      <w:r w:rsidRPr="00933A18">
        <w:rPr>
          <w:rFonts w:ascii="Times New Roman" w:eastAsia="Times New Roman" w:hAnsi="Times New Roman" w:cs="Times New Roman"/>
          <w:sz w:val="24"/>
          <w:szCs w:val="24"/>
        </w:rPr>
        <w:t xml:space="preserve">92 and unless explicitly stated the following discussion refers to this olivine composition. </w:t>
      </w:r>
      <w:r w:rsidRPr="00933A18">
        <w:rPr>
          <w:rFonts w:ascii="Times New Roman" w:eastAsia="Times New Roman" w:hAnsi="Times New Roman" w:cs="Times New Roman"/>
          <w:sz w:val="24"/>
          <w:szCs w:val="24"/>
        </w:rPr>
        <w:lastRenderedPageBreak/>
        <w:t>Figure 3 shows the reproducibility of the diffusion coefficients from experiments carried out for different durations at the same temperature and oxygen fugacity in both kinds of experiments. Due to the use of two different experimental approaches the variation in the duration of the experiments at</w:t>
      </w:r>
    </w:p>
    <w:p w:rsidR="00933A18" w:rsidRPr="00933A18" w:rsidRDefault="00933A18" w:rsidP="00933A18">
      <w:pPr>
        <w:spacing w:before="100" w:beforeAutospacing="1" w:after="100" w:afterAutospacing="1" w:line="240" w:lineRule="auto"/>
        <w:outlineLvl w:val="1"/>
        <w:rPr>
          <w:rFonts w:ascii="Times New Roman" w:eastAsia="Times New Roman" w:hAnsi="Times New Roman" w:cs="Times New Roman"/>
          <w:b/>
          <w:bCs/>
          <w:sz w:val="36"/>
          <w:szCs w:val="36"/>
        </w:rPr>
      </w:pPr>
      <w:r w:rsidRPr="00933A18">
        <w:rPr>
          <w:rFonts w:ascii="Times New Roman" w:eastAsia="Times New Roman" w:hAnsi="Times New Roman" w:cs="Times New Roman"/>
          <w:b/>
          <w:bCs/>
          <w:sz w:val="36"/>
          <w:szCs w:val="36"/>
        </w:rPr>
        <w:t>Comparison with Existing Data</w:t>
      </w:r>
    </w:p>
    <w:p w:rsidR="00933A18" w:rsidRPr="00933A18" w:rsidRDefault="00933A18" w:rsidP="00933A18">
      <w:pPr>
        <w:spacing w:before="100" w:beforeAutospacing="1" w:after="100" w:afterAutospacing="1" w:line="240" w:lineRule="auto"/>
        <w:rPr>
          <w:rFonts w:ascii="Times New Roman" w:eastAsia="Times New Roman" w:hAnsi="Times New Roman" w:cs="Times New Roman"/>
          <w:sz w:val="24"/>
          <w:szCs w:val="24"/>
        </w:rPr>
      </w:pPr>
      <w:r w:rsidRPr="00933A18">
        <w:rPr>
          <w:rFonts w:ascii="Times New Roman" w:eastAsia="Times New Roman" w:hAnsi="Times New Roman" w:cs="Times New Roman"/>
          <w:sz w:val="24"/>
          <w:szCs w:val="24"/>
        </w:rPr>
        <w:t xml:space="preserve">Figure 4 shows that the diffusion data of </w:t>
      </w:r>
      <w:proofErr w:type="spellStart"/>
      <w:r w:rsidRPr="00933A18">
        <w:rPr>
          <w:rFonts w:ascii="Times New Roman" w:eastAsia="Times New Roman" w:hAnsi="Times New Roman" w:cs="Times New Roman"/>
          <w:sz w:val="24"/>
          <w:szCs w:val="24"/>
        </w:rPr>
        <w:t>Jurewicz</w:t>
      </w:r>
      <w:proofErr w:type="spellEnd"/>
      <w:r w:rsidRPr="00933A18">
        <w:rPr>
          <w:rFonts w:ascii="Times New Roman" w:eastAsia="Times New Roman" w:hAnsi="Times New Roman" w:cs="Times New Roman"/>
          <w:sz w:val="24"/>
          <w:szCs w:val="24"/>
        </w:rPr>
        <w:t xml:space="preserve"> and Watson (1988), for experiments performed under the same conditions as in this study, are approximately one order of magnitude faster. The same is true if their Mg-Fe diffusion coefficients are compared to those of Chakraborty (1997). Correction of their entire dataset for the difference in </w:t>
      </w:r>
      <w:r w:rsidRPr="00933A18">
        <w:rPr>
          <w:rFonts w:ascii="Times New Roman" w:eastAsia="Times New Roman" w:hAnsi="Times New Roman" w:cs="Times New Roman"/>
          <w:i/>
          <w:iCs/>
          <w:sz w:val="24"/>
          <w:szCs w:val="24"/>
        </w:rPr>
        <w:t>f</w:t>
      </w:r>
      <w:r w:rsidRPr="00933A18">
        <w:rPr>
          <w:rFonts w:ascii="Times New Roman" w:eastAsia="Times New Roman" w:hAnsi="Times New Roman" w:cs="Times New Roman"/>
          <w:sz w:val="24"/>
          <w:szCs w:val="24"/>
        </w:rPr>
        <w:t>O</w:t>
      </w:r>
      <w:r w:rsidRPr="00933A18">
        <w:rPr>
          <w:rFonts w:ascii="Times New Roman" w:eastAsia="Times New Roman" w:hAnsi="Times New Roman" w:cs="Times New Roman"/>
          <w:sz w:val="24"/>
          <w:szCs w:val="24"/>
          <w:vertAlign w:val="subscript"/>
        </w:rPr>
        <w:t>2</w:t>
      </w:r>
      <w:r w:rsidRPr="00933A18">
        <w:rPr>
          <w:rFonts w:ascii="Times New Roman" w:eastAsia="Times New Roman" w:hAnsi="Times New Roman" w:cs="Times New Roman"/>
          <w:sz w:val="24"/>
          <w:szCs w:val="24"/>
        </w:rPr>
        <w:t xml:space="preserve"> shows that all their data are faster than our best-fitting Arrhenius relationship by 0.2 to 1.3 log units (Fig. 9). This may reflect enhanced</w:t>
      </w:r>
    </w:p>
    <w:p w:rsidR="00933A18" w:rsidRPr="00933A18" w:rsidRDefault="00933A18" w:rsidP="00933A18">
      <w:pPr>
        <w:spacing w:before="100" w:beforeAutospacing="1" w:after="100" w:afterAutospacing="1" w:line="240" w:lineRule="auto"/>
        <w:outlineLvl w:val="1"/>
        <w:rPr>
          <w:rFonts w:ascii="Times New Roman" w:eastAsia="Times New Roman" w:hAnsi="Times New Roman" w:cs="Times New Roman"/>
          <w:b/>
          <w:bCs/>
          <w:sz w:val="36"/>
          <w:szCs w:val="36"/>
        </w:rPr>
      </w:pPr>
      <w:r w:rsidRPr="00933A18">
        <w:rPr>
          <w:rFonts w:ascii="Times New Roman" w:eastAsia="Times New Roman" w:hAnsi="Times New Roman" w:cs="Times New Roman"/>
          <w:b/>
          <w:bCs/>
          <w:sz w:val="36"/>
          <w:szCs w:val="36"/>
        </w:rPr>
        <w:t>Summary</w:t>
      </w:r>
    </w:p>
    <w:p w:rsidR="00933A18" w:rsidRPr="00933A18" w:rsidRDefault="00933A18" w:rsidP="00933A18">
      <w:pPr>
        <w:spacing w:before="100" w:beforeAutospacing="1" w:after="100" w:afterAutospacing="1" w:line="240" w:lineRule="auto"/>
        <w:rPr>
          <w:rFonts w:ascii="Times New Roman" w:eastAsia="Times New Roman" w:hAnsi="Times New Roman" w:cs="Times New Roman"/>
          <w:sz w:val="24"/>
          <w:szCs w:val="24"/>
        </w:rPr>
      </w:pPr>
      <w:r w:rsidRPr="00933A18">
        <w:rPr>
          <w:rFonts w:ascii="Times New Roman" w:eastAsia="Times New Roman" w:hAnsi="Times New Roman" w:cs="Times New Roman"/>
          <w:sz w:val="24"/>
          <w:szCs w:val="24"/>
        </w:rPr>
        <w:t>The tracer diffusion coefficient for Ca in olivine has been determined as a function of temperature, oxygen fugacity (</w:t>
      </w:r>
      <w:r w:rsidRPr="00933A18">
        <w:rPr>
          <w:rFonts w:ascii="Times New Roman" w:eastAsia="Times New Roman" w:hAnsi="Times New Roman" w:cs="Times New Roman"/>
          <w:i/>
          <w:iCs/>
          <w:sz w:val="24"/>
          <w:szCs w:val="24"/>
        </w:rPr>
        <w:t>f</w:t>
      </w:r>
      <w:r w:rsidRPr="00933A18">
        <w:rPr>
          <w:rFonts w:ascii="Times New Roman" w:eastAsia="Times New Roman" w:hAnsi="Times New Roman" w:cs="Times New Roman"/>
          <w:sz w:val="24"/>
          <w:szCs w:val="24"/>
        </w:rPr>
        <w:t>O</w:t>
      </w:r>
      <w:r w:rsidRPr="00933A18">
        <w:rPr>
          <w:rFonts w:ascii="Times New Roman" w:eastAsia="Times New Roman" w:hAnsi="Times New Roman" w:cs="Times New Roman"/>
          <w:sz w:val="24"/>
          <w:szCs w:val="24"/>
          <w:vertAlign w:val="subscript"/>
        </w:rPr>
        <w:t>2</w:t>
      </w:r>
      <w:r w:rsidRPr="00933A18">
        <w:rPr>
          <w:rFonts w:ascii="Times New Roman" w:eastAsia="Times New Roman" w:hAnsi="Times New Roman" w:cs="Times New Roman"/>
          <w:sz w:val="24"/>
          <w:szCs w:val="24"/>
        </w:rPr>
        <w:t xml:space="preserve">) and composition (see Eqn. (7), (8), (9)). The activation energy for diffusion is similar to that for other divalent cations in olivine (Fe-Mg, Mn, Ni, Co) despite Ca occupying only the M2 site and these other cations being distributed between the M1 and M2 sites. The absolute value of the diffusion coefficient at 900°C, and an </w:t>
      </w:r>
      <w:r w:rsidRPr="00933A18">
        <w:rPr>
          <w:rFonts w:ascii="Times New Roman" w:eastAsia="Times New Roman" w:hAnsi="Times New Roman" w:cs="Times New Roman"/>
          <w:i/>
          <w:iCs/>
          <w:sz w:val="24"/>
          <w:szCs w:val="24"/>
        </w:rPr>
        <w:t>f</w:t>
      </w:r>
      <w:r w:rsidRPr="00933A18">
        <w:rPr>
          <w:rFonts w:ascii="Times New Roman" w:eastAsia="Times New Roman" w:hAnsi="Times New Roman" w:cs="Times New Roman"/>
          <w:sz w:val="24"/>
          <w:szCs w:val="24"/>
        </w:rPr>
        <w:t>O</w:t>
      </w:r>
      <w:r w:rsidRPr="00933A18">
        <w:rPr>
          <w:rFonts w:ascii="Times New Roman" w:eastAsia="Times New Roman" w:hAnsi="Times New Roman" w:cs="Times New Roman"/>
          <w:sz w:val="24"/>
          <w:szCs w:val="24"/>
          <w:vertAlign w:val="subscript"/>
        </w:rPr>
        <w:t>2</w:t>
      </w:r>
      <w:r w:rsidRPr="00933A18">
        <w:rPr>
          <w:rFonts w:ascii="Times New Roman" w:eastAsia="Times New Roman" w:hAnsi="Times New Roman" w:cs="Times New Roman"/>
          <w:sz w:val="24"/>
          <w:szCs w:val="24"/>
        </w:rPr>
        <w:t xml:space="preserve"> of 10</w:t>
      </w:r>
      <w:r w:rsidRPr="00933A18">
        <w:rPr>
          <w:rFonts w:ascii="Times New Roman" w:eastAsia="Times New Roman" w:hAnsi="Times New Roman" w:cs="Times New Roman"/>
          <w:sz w:val="24"/>
          <w:szCs w:val="24"/>
          <w:vertAlign w:val="superscript"/>
        </w:rPr>
        <w:t>−12</w:t>
      </w:r>
      <w:r w:rsidRPr="00933A18">
        <w:rPr>
          <w:rFonts w:ascii="Times New Roman" w:eastAsia="Times New Roman" w:hAnsi="Times New Roman" w:cs="Times New Roman"/>
          <w:sz w:val="24"/>
          <w:szCs w:val="24"/>
        </w:rPr>
        <w:t xml:space="preserve"> bar, is </w:t>
      </w:r>
      <w:r w:rsidRPr="00933A18">
        <w:rPr>
          <w:rFonts w:ascii="Cambria Math" w:eastAsia="Times New Roman" w:hAnsi="Cambria Math" w:cs="Cambria Math"/>
          <w:sz w:val="24"/>
          <w:szCs w:val="24"/>
        </w:rPr>
        <w:t>∼</w:t>
      </w:r>
      <w:r w:rsidRPr="00933A18">
        <w:rPr>
          <w:rFonts w:ascii="Times New Roman" w:eastAsia="Times New Roman" w:hAnsi="Times New Roman" w:cs="Times New Roman"/>
          <w:sz w:val="24"/>
          <w:szCs w:val="24"/>
        </w:rPr>
        <w:t xml:space="preserve"> 1 order of magnitude</w:t>
      </w:r>
    </w:p>
    <w:p w:rsidR="00933A18" w:rsidRPr="00933A18" w:rsidRDefault="00933A18" w:rsidP="00933A18">
      <w:pPr>
        <w:spacing w:before="100" w:beforeAutospacing="1" w:after="100" w:afterAutospacing="1" w:line="240" w:lineRule="auto"/>
        <w:outlineLvl w:val="1"/>
        <w:rPr>
          <w:rFonts w:ascii="Times New Roman" w:eastAsia="Times New Roman" w:hAnsi="Times New Roman" w:cs="Times New Roman"/>
          <w:b/>
          <w:bCs/>
          <w:sz w:val="36"/>
          <w:szCs w:val="36"/>
        </w:rPr>
      </w:pPr>
      <w:r w:rsidRPr="00933A18">
        <w:rPr>
          <w:rFonts w:ascii="Times New Roman" w:eastAsia="Times New Roman" w:hAnsi="Times New Roman" w:cs="Times New Roman"/>
          <w:b/>
          <w:bCs/>
          <w:sz w:val="36"/>
          <w:szCs w:val="36"/>
        </w:rPr>
        <w:t>Acknowledgments</w:t>
      </w:r>
    </w:p>
    <w:p w:rsidR="00933A18" w:rsidRPr="00933A18" w:rsidRDefault="00933A18" w:rsidP="00933A18">
      <w:pPr>
        <w:spacing w:before="100" w:beforeAutospacing="1" w:after="100" w:afterAutospacing="1" w:line="240" w:lineRule="auto"/>
        <w:rPr>
          <w:rFonts w:ascii="Times New Roman" w:eastAsia="Times New Roman" w:hAnsi="Times New Roman" w:cs="Times New Roman"/>
          <w:sz w:val="24"/>
          <w:szCs w:val="24"/>
        </w:rPr>
      </w:pPr>
      <w:r w:rsidRPr="00933A18">
        <w:rPr>
          <w:rFonts w:ascii="Times New Roman" w:eastAsia="Times New Roman" w:hAnsi="Times New Roman" w:cs="Times New Roman"/>
          <w:sz w:val="24"/>
          <w:szCs w:val="24"/>
        </w:rPr>
        <w:t xml:space="preserve">John Craven is thanked for performing the ion microprobe depth profiles at Edinburgh University. Without his contribution this study would not have been possible. Ralf </w:t>
      </w:r>
      <w:proofErr w:type="spellStart"/>
      <w:r w:rsidRPr="00933A18">
        <w:rPr>
          <w:rFonts w:ascii="Times New Roman" w:eastAsia="Times New Roman" w:hAnsi="Times New Roman" w:cs="Times New Roman"/>
          <w:sz w:val="24"/>
          <w:szCs w:val="24"/>
        </w:rPr>
        <w:t>Dohmen</w:t>
      </w:r>
      <w:proofErr w:type="spellEnd"/>
      <w:r w:rsidRPr="00933A18">
        <w:rPr>
          <w:rFonts w:ascii="Times New Roman" w:eastAsia="Times New Roman" w:hAnsi="Times New Roman" w:cs="Times New Roman"/>
          <w:sz w:val="24"/>
          <w:szCs w:val="24"/>
        </w:rPr>
        <w:t xml:space="preserve"> helped with the PLD thin film productions and trained LAC on the PLD equipment, another invaluable contribution. Herbert Palme is thanked for an active interest and discussion of this project. Danielle </w:t>
      </w:r>
      <w:proofErr w:type="spellStart"/>
      <w:r w:rsidRPr="00933A18">
        <w:rPr>
          <w:rFonts w:ascii="Times New Roman" w:eastAsia="Times New Roman" w:hAnsi="Times New Roman" w:cs="Times New Roman"/>
          <w:sz w:val="24"/>
          <w:szCs w:val="24"/>
        </w:rPr>
        <w:t>Cherniak</w:t>
      </w:r>
      <w:proofErr w:type="spellEnd"/>
      <w:r w:rsidRPr="00933A18">
        <w:rPr>
          <w:rFonts w:ascii="Times New Roman" w:eastAsia="Times New Roman" w:hAnsi="Times New Roman" w:cs="Times New Roman"/>
          <w:sz w:val="24"/>
          <w:szCs w:val="24"/>
        </w:rPr>
        <w:t xml:space="preserve"> and an anonymous reviewer are thanked for their comments and Bjorn </w:t>
      </w:r>
      <w:proofErr w:type="spellStart"/>
      <w:r w:rsidRPr="00933A18">
        <w:rPr>
          <w:rFonts w:ascii="Times New Roman" w:eastAsia="Times New Roman" w:hAnsi="Times New Roman" w:cs="Times New Roman"/>
          <w:sz w:val="24"/>
          <w:szCs w:val="24"/>
        </w:rPr>
        <w:t>Mysen</w:t>
      </w:r>
      <w:proofErr w:type="spellEnd"/>
      <w:r w:rsidRPr="00933A18">
        <w:rPr>
          <w:rFonts w:ascii="Times New Roman" w:eastAsia="Times New Roman" w:hAnsi="Times New Roman" w:cs="Times New Roman"/>
          <w:sz w:val="24"/>
          <w:szCs w:val="24"/>
        </w:rPr>
        <w:t xml:space="preserve"> for his editorial handling. The depth</w:t>
      </w:r>
    </w:p>
    <w:p w:rsidR="002A2733" w:rsidRDefault="002A2733"/>
    <w:sectPr w:rsidR="002A2733">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3A18"/>
    <w:rsid w:val="002A2733"/>
    <w:rsid w:val="00933A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82B241"/>
  <w15:chartTrackingRefBased/>
  <w15:docId w15:val="{110229A9-47A5-4A6B-B0FA-4FF47F17F4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1420087">
      <w:bodyDiv w:val="1"/>
      <w:marLeft w:val="0"/>
      <w:marRight w:val="0"/>
      <w:marTop w:val="0"/>
      <w:marBottom w:val="0"/>
      <w:divBdr>
        <w:top w:val="none" w:sz="0" w:space="0" w:color="auto"/>
        <w:left w:val="none" w:sz="0" w:space="0" w:color="auto"/>
        <w:bottom w:val="none" w:sz="0" w:space="0" w:color="auto"/>
        <w:right w:val="none" w:sz="0" w:space="0" w:color="auto"/>
      </w:divBdr>
      <w:divsChild>
        <w:div w:id="1797866320">
          <w:marLeft w:val="0"/>
          <w:marRight w:val="0"/>
          <w:marTop w:val="0"/>
          <w:marBottom w:val="0"/>
          <w:divBdr>
            <w:top w:val="none" w:sz="0" w:space="0" w:color="auto"/>
            <w:left w:val="none" w:sz="0" w:space="0" w:color="auto"/>
            <w:bottom w:val="none" w:sz="0" w:space="0" w:color="auto"/>
            <w:right w:val="none" w:sz="0" w:space="0" w:color="auto"/>
          </w:divBdr>
          <w:divsChild>
            <w:div w:id="1104111099">
              <w:marLeft w:val="0"/>
              <w:marRight w:val="0"/>
              <w:marTop w:val="0"/>
              <w:marBottom w:val="0"/>
              <w:divBdr>
                <w:top w:val="none" w:sz="0" w:space="0" w:color="auto"/>
                <w:left w:val="none" w:sz="0" w:space="0" w:color="auto"/>
                <w:bottom w:val="none" w:sz="0" w:space="0" w:color="auto"/>
                <w:right w:val="none" w:sz="0" w:space="0" w:color="auto"/>
              </w:divBdr>
              <w:divsChild>
                <w:div w:id="1362241030">
                  <w:marLeft w:val="0"/>
                  <w:marRight w:val="0"/>
                  <w:marTop w:val="0"/>
                  <w:marBottom w:val="0"/>
                  <w:divBdr>
                    <w:top w:val="none" w:sz="0" w:space="0" w:color="auto"/>
                    <w:left w:val="none" w:sz="0" w:space="0" w:color="auto"/>
                    <w:bottom w:val="none" w:sz="0" w:space="0" w:color="auto"/>
                    <w:right w:val="none" w:sz="0" w:space="0" w:color="auto"/>
                  </w:divBdr>
                  <w:divsChild>
                    <w:div w:id="63171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6956293">
          <w:marLeft w:val="0"/>
          <w:marRight w:val="0"/>
          <w:marTop w:val="0"/>
          <w:marBottom w:val="0"/>
          <w:divBdr>
            <w:top w:val="none" w:sz="0" w:space="0" w:color="auto"/>
            <w:left w:val="none" w:sz="0" w:space="0" w:color="auto"/>
            <w:bottom w:val="none" w:sz="0" w:space="0" w:color="auto"/>
            <w:right w:val="none" w:sz="0" w:space="0" w:color="auto"/>
          </w:divBdr>
          <w:divsChild>
            <w:div w:id="1352340392">
              <w:marLeft w:val="0"/>
              <w:marRight w:val="0"/>
              <w:marTop w:val="0"/>
              <w:marBottom w:val="0"/>
              <w:divBdr>
                <w:top w:val="none" w:sz="0" w:space="0" w:color="auto"/>
                <w:left w:val="none" w:sz="0" w:space="0" w:color="auto"/>
                <w:bottom w:val="none" w:sz="0" w:space="0" w:color="auto"/>
                <w:right w:val="none" w:sz="0" w:space="0" w:color="auto"/>
              </w:divBdr>
              <w:divsChild>
                <w:div w:id="2011835904">
                  <w:marLeft w:val="0"/>
                  <w:marRight w:val="0"/>
                  <w:marTop w:val="0"/>
                  <w:marBottom w:val="0"/>
                  <w:divBdr>
                    <w:top w:val="none" w:sz="0" w:space="0" w:color="auto"/>
                    <w:left w:val="none" w:sz="0" w:space="0" w:color="auto"/>
                    <w:bottom w:val="none" w:sz="0" w:space="0" w:color="auto"/>
                    <w:right w:val="none" w:sz="0" w:space="0" w:color="auto"/>
                  </w:divBdr>
                  <w:divsChild>
                    <w:div w:id="1581600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842262">
          <w:marLeft w:val="0"/>
          <w:marRight w:val="0"/>
          <w:marTop w:val="0"/>
          <w:marBottom w:val="0"/>
          <w:divBdr>
            <w:top w:val="none" w:sz="0" w:space="0" w:color="auto"/>
            <w:left w:val="none" w:sz="0" w:space="0" w:color="auto"/>
            <w:bottom w:val="none" w:sz="0" w:space="0" w:color="auto"/>
            <w:right w:val="none" w:sz="0" w:space="0" w:color="auto"/>
          </w:divBdr>
          <w:divsChild>
            <w:div w:id="328603085">
              <w:marLeft w:val="0"/>
              <w:marRight w:val="0"/>
              <w:marTop w:val="0"/>
              <w:marBottom w:val="0"/>
              <w:divBdr>
                <w:top w:val="none" w:sz="0" w:space="0" w:color="auto"/>
                <w:left w:val="none" w:sz="0" w:space="0" w:color="auto"/>
                <w:bottom w:val="none" w:sz="0" w:space="0" w:color="auto"/>
                <w:right w:val="none" w:sz="0" w:space="0" w:color="auto"/>
              </w:divBdr>
            </w:div>
          </w:divsChild>
        </w:div>
        <w:div w:id="1213351574">
          <w:marLeft w:val="0"/>
          <w:marRight w:val="0"/>
          <w:marTop w:val="0"/>
          <w:marBottom w:val="0"/>
          <w:divBdr>
            <w:top w:val="none" w:sz="0" w:space="0" w:color="auto"/>
            <w:left w:val="none" w:sz="0" w:space="0" w:color="auto"/>
            <w:bottom w:val="none" w:sz="0" w:space="0" w:color="auto"/>
            <w:right w:val="none" w:sz="0" w:space="0" w:color="auto"/>
          </w:divBdr>
          <w:divsChild>
            <w:div w:id="1495148222">
              <w:marLeft w:val="0"/>
              <w:marRight w:val="0"/>
              <w:marTop w:val="0"/>
              <w:marBottom w:val="0"/>
              <w:divBdr>
                <w:top w:val="none" w:sz="0" w:space="0" w:color="auto"/>
                <w:left w:val="none" w:sz="0" w:space="0" w:color="auto"/>
                <w:bottom w:val="none" w:sz="0" w:space="0" w:color="auto"/>
                <w:right w:val="none" w:sz="0" w:space="0" w:color="auto"/>
              </w:divBdr>
            </w:div>
          </w:divsChild>
        </w:div>
        <w:div w:id="783646442">
          <w:marLeft w:val="0"/>
          <w:marRight w:val="0"/>
          <w:marTop w:val="0"/>
          <w:marBottom w:val="0"/>
          <w:divBdr>
            <w:top w:val="none" w:sz="0" w:space="0" w:color="auto"/>
            <w:left w:val="none" w:sz="0" w:space="0" w:color="auto"/>
            <w:bottom w:val="none" w:sz="0" w:space="0" w:color="auto"/>
            <w:right w:val="none" w:sz="0" w:space="0" w:color="auto"/>
          </w:divBdr>
          <w:divsChild>
            <w:div w:id="204721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sciencedirect.com/topics/earth-and-planetary-sciences/diffusion-coefficient" TargetMode="External"/><Relationship Id="rId4" Type="http://schemas.openxmlformats.org/officeDocument/2006/relationships/hyperlink" Target="https://doi.org/10.1016/j.gca.2005.03.00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1127</Words>
  <Characters>6425</Characters>
  <Application>Microsoft Office Word</Application>
  <DocSecurity>0</DocSecurity>
  <Lines>53</Lines>
  <Paragraphs>15</Paragraphs>
  <ScaleCrop>false</ScaleCrop>
  <Company/>
  <LinksUpToDate>false</LinksUpToDate>
  <CharactersWithSpaces>7537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2023-11-18T07:45:00Z</dcterms:created>
  <dcterms:modified xsi:type="dcterms:W3CDTF">2023-11-18T07:46:00Z</dcterms:modified>
</cp:coreProperties>
</file>