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C06CB8" w:rsidRPr="00C06CB8" w:rsidRDefault="00C06CB8" w:rsidP="00C06CB8">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r w:rsidRPr="00C06CB8">
        <w:rPr>
          <w:rFonts w:ascii="Times New Roman" w:eastAsia="Times New Roman" w:hAnsi="Times New Roman" w:cs="Times New Roman"/>
          <w:b/>
          <w:bCs/>
          <w:kern w:val="36"/>
          <w:sz w:val="48"/>
          <w:szCs w:val="48"/>
          <w:lang w:val="en-US" w:eastAsia="ru-RU"/>
        </w:rPr>
        <w:t xml:space="preserve">1.3 Billion years of acritarch history: An empirical </w:t>
      </w:r>
      <w:proofErr w:type="spellStart"/>
      <w:r w:rsidRPr="00C06CB8">
        <w:rPr>
          <w:rFonts w:ascii="Times New Roman" w:eastAsia="Times New Roman" w:hAnsi="Times New Roman" w:cs="Times New Roman"/>
          <w:b/>
          <w:bCs/>
          <w:kern w:val="36"/>
          <w:sz w:val="48"/>
          <w:szCs w:val="48"/>
          <w:lang w:val="en-US" w:eastAsia="ru-RU"/>
        </w:rPr>
        <w:t>morphospace</w:t>
      </w:r>
      <w:proofErr w:type="spellEnd"/>
      <w:r w:rsidRPr="00C06CB8">
        <w:rPr>
          <w:rFonts w:ascii="Times New Roman" w:eastAsia="Times New Roman" w:hAnsi="Times New Roman" w:cs="Times New Roman"/>
          <w:b/>
          <w:bCs/>
          <w:kern w:val="36"/>
          <w:sz w:val="48"/>
          <w:szCs w:val="48"/>
          <w:lang w:val="en-US" w:eastAsia="ru-RU"/>
        </w:rPr>
        <w:t xml:space="preserve"> approach</w:t>
      </w:r>
    </w:p>
    <w:p w:rsidR="00C06CB8" w:rsidRPr="00C06CB8" w:rsidRDefault="00C06CB8" w:rsidP="00C06CB8">
      <w:pPr>
        <w:spacing w:after="0" w:line="240" w:lineRule="auto"/>
        <w:rPr>
          <w:rFonts w:ascii="Times New Roman" w:eastAsia="Times New Roman" w:hAnsi="Times New Roman" w:cs="Times New Roman"/>
          <w:sz w:val="24"/>
          <w:szCs w:val="24"/>
          <w:lang w:val="en-US" w:eastAsia="ru-RU"/>
        </w:rPr>
      </w:pPr>
      <w:r w:rsidRPr="00C06CB8">
        <w:rPr>
          <w:rFonts w:ascii="Times New Roman" w:eastAsia="Times New Roman" w:hAnsi="Times New Roman" w:cs="Times New Roman"/>
          <w:sz w:val="24"/>
          <w:szCs w:val="24"/>
          <w:lang w:val="en-US" w:eastAsia="ru-RU"/>
        </w:rPr>
        <w:t xml:space="preserve">Author links open overlay </w:t>
      </w:r>
      <w:proofErr w:type="spellStart"/>
      <w:r w:rsidRPr="00C06CB8">
        <w:rPr>
          <w:rFonts w:ascii="Times New Roman" w:eastAsia="Times New Roman" w:hAnsi="Times New Roman" w:cs="Times New Roman"/>
          <w:sz w:val="24"/>
          <w:szCs w:val="24"/>
          <w:lang w:val="en-US" w:eastAsia="ru-RU"/>
        </w:rPr>
        <w:t>panelJohn</w:t>
      </w:r>
      <w:proofErr w:type="spellEnd"/>
      <w:r w:rsidRPr="00C06CB8">
        <w:rPr>
          <w:rFonts w:ascii="Times New Roman" w:eastAsia="Times New Roman" w:hAnsi="Times New Roman" w:cs="Times New Roman"/>
          <w:sz w:val="24"/>
          <w:szCs w:val="24"/>
          <w:lang w:val="en-US" w:eastAsia="ru-RU"/>
        </w:rPr>
        <w:t xml:space="preserve"> Warren Huntley</w:t>
      </w:r>
    </w:p>
    <w:p w:rsidR="00C06CB8" w:rsidRPr="00C06CB8" w:rsidRDefault="00C06CB8" w:rsidP="00C06CB8">
      <w:pPr>
        <w:spacing w:after="0" w:line="240" w:lineRule="auto"/>
        <w:rPr>
          <w:rFonts w:ascii="Times New Roman" w:eastAsia="Times New Roman" w:hAnsi="Times New Roman" w:cs="Times New Roman"/>
          <w:sz w:val="24"/>
          <w:szCs w:val="24"/>
          <w:lang w:val="en-US" w:eastAsia="ru-RU"/>
        </w:rPr>
      </w:pPr>
      <w:r w:rsidRPr="00C06CB8">
        <w:rPr>
          <w:rFonts w:ascii="Times New Roman" w:eastAsia="Times New Roman" w:hAnsi="Times New Roman" w:cs="Times New Roman"/>
          <w:sz w:val="24"/>
          <w:szCs w:val="24"/>
          <w:lang w:val="en-US" w:eastAsia="ru-RU"/>
        </w:rPr>
        <w:t xml:space="preserve">, </w:t>
      </w:r>
      <w:proofErr w:type="spellStart"/>
      <w:r w:rsidRPr="00C06CB8">
        <w:rPr>
          <w:rFonts w:ascii="Times New Roman" w:eastAsia="Times New Roman" w:hAnsi="Times New Roman" w:cs="Times New Roman"/>
          <w:sz w:val="24"/>
          <w:szCs w:val="24"/>
          <w:lang w:val="en-US" w:eastAsia="ru-RU"/>
        </w:rPr>
        <w:t>Shuhai</w:t>
      </w:r>
      <w:proofErr w:type="spellEnd"/>
      <w:r w:rsidRPr="00C06CB8">
        <w:rPr>
          <w:rFonts w:ascii="Times New Roman" w:eastAsia="Times New Roman" w:hAnsi="Times New Roman" w:cs="Times New Roman"/>
          <w:sz w:val="24"/>
          <w:szCs w:val="24"/>
          <w:lang w:val="en-US" w:eastAsia="ru-RU"/>
        </w:rPr>
        <w:t xml:space="preserve"> Xiao, </w:t>
      </w:r>
      <w:proofErr w:type="spellStart"/>
      <w:r w:rsidRPr="00C06CB8">
        <w:rPr>
          <w:rFonts w:ascii="Times New Roman" w:eastAsia="Times New Roman" w:hAnsi="Times New Roman" w:cs="Times New Roman"/>
          <w:sz w:val="24"/>
          <w:szCs w:val="24"/>
          <w:lang w:val="en-US" w:eastAsia="ru-RU"/>
        </w:rPr>
        <w:t>Michał</w:t>
      </w:r>
      <w:proofErr w:type="spellEnd"/>
      <w:r w:rsidRPr="00C06CB8">
        <w:rPr>
          <w:rFonts w:ascii="Times New Roman" w:eastAsia="Times New Roman" w:hAnsi="Times New Roman" w:cs="Times New Roman"/>
          <w:sz w:val="24"/>
          <w:szCs w:val="24"/>
          <w:lang w:val="en-US" w:eastAsia="ru-RU"/>
        </w:rPr>
        <w:t xml:space="preserve"> </w:t>
      </w:r>
      <w:proofErr w:type="spellStart"/>
      <w:r w:rsidRPr="00C06CB8">
        <w:rPr>
          <w:rFonts w:ascii="Times New Roman" w:eastAsia="Times New Roman" w:hAnsi="Times New Roman" w:cs="Times New Roman"/>
          <w:sz w:val="24"/>
          <w:szCs w:val="24"/>
          <w:lang w:val="en-US" w:eastAsia="ru-RU"/>
        </w:rPr>
        <w:t>Kowalewski</w:t>
      </w:r>
      <w:proofErr w:type="spellEnd"/>
    </w:p>
    <w:p w:rsidR="00C06CB8" w:rsidRPr="00C06CB8" w:rsidRDefault="00C06CB8" w:rsidP="00C06CB8">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bookmarkStart w:id="0" w:name="_GoBack"/>
      <w:bookmarkEnd w:id="0"/>
      <w:r w:rsidRPr="00C06CB8">
        <w:rPr>
          <w:rFonts w:ascii="Times New Roman" w:eastAsia="Times New Roman" w:hAnsi="Times New Roman" w:cs="Times New Roman"/>
          <w:b/>
          <w:bCs/>
          <w:sz w:val="36"/>
          <w:szCs w:val="36"/>
          <w:lang w:val="en-US" w:eastAsia="ru-RU"/>
        </w:rPr>
        <w:t>Abstract</w:t>
      </w:r>
    </w:p>
    <w:p w:rsidR="00C06CB8" w:rsidRPr="00C06CB8" w:rsidRDefault="00C06CB8" w:rsidP="00C06CB8">
      <w:pPr>
        <w:spacing w:after="0" w:line="240" w:lineRule="auto"/>
        <w:rPr>
          <w:rFonts w:ascii="Times New Roman" w:eastAsia="Times New Roman" w:hAnsi="Times New Roman" w:cs="Times New Roman"/>
          <w:sz w:val="24"/>
          <w:szCs w:val="24"/>
          <w:lang w:val="en-US" w:eastAsia="ru-RU"/>
        </w:rPr>
      </w:pPr>
      <w:hyperlink r:id="rId4" w:tooltip="Learn more about Acritarchs from ScienceDirect's AI-generated Topic Pages" w:history="1">
        <w:proofErr w:type="spellStart"/>
        <w:r w:rsidRPr="00C06CB8">
          <w:rPr>
            <w:rFonts w:ascii="Times New Roman" w:eastAsia="Times New Roman" w:hAnsi="Times New Roman" w:cs="Times New Roman"/>
            <w:color w:val="0000FF"/>
            <w:sz w:val="24"/>
            <w:szCs w:val="24"/>
            <w:u w:val="single"/>
            <w:lang w:val="en-US" w:eastAsia="ru-RU"/>
          </w:rPr>
          <w:t>Acritarchs</w:t>
        </w:r>
        <w:proofErr w:type="spellEnd"/>
      </w:hyperlink>
      <w:r w:rsidRPr="00C06CB8">
        <w:rPr>
          <w:rFonts w:ascii="Times New Roman" w:eastAsia="Times New Roman" w:hAnsi="Times New Roman" w:cs="Times New Roman"/>
          <w:sz w:val="24"/>
          <w:szCs w:val="24"/>
          <w:lang w:val="en-US" w:eastAsia="ru-RU"/>
        </w:rPr>
        <w:t xml:space="preserve"> are a group of organic-walled vesicular </w:t>
      </w:r>
      <w:hyperlink r:id="rId5" w:tooltip="Learn more about microfossils from ScienceDirect's AI-generated Topic Pages" w:history="1">
        <w:r w:rsidRPr="00C06CB8">
          <w:rPr>
            <w:rFonts w:ascii="Times New Roman" w:eastAsia="Times New Roman" w:hAnsi="Times New Roman" w:cs="Times New Roman"/>
            <w:color w:val="0000FF"/>
            <w:sz w:val="24"/>
            <w:szCs w:val="24"/>
            <w:u w:val="single"/>
            <w:lang w:val="en-US" w:eastAsia="ru-RU"/>
          </w:rPr>
          <w:t>microfossils</w:t>
        </w:r>
      </w:hyperlink>
      <w:r w:rsidRPr="00C06CB8">
        <w:rPr>
          <w:rFonts w:ascii="Times New Roman" w:eastAsia="Times New Roman" w:hAnsi="Times New Roman" w:cs="Times New Roman"/>
          <w:sz w:val="24"/>
          <w:szCs w:val="24"/>
          <w:lang w:val="en-US" w:eastAsia="ru-RU"/>
        </w:rPr>
        <w:t xml:space="preserve"> interpreted as </w:t>
      </w:r>
      <w:hyperlink r:id="rId6" w:tooltip="Learn more about protists from ScienceDirect's AI-generated Topic Pages" w:history="1">
        <w:r w:rsidRPr="00C06CB8">
          <w:rPr>
            <w:rFonts w:ascii="Times New Roman" w:eastAsia="Times New Roman" w:hAnsi="Times New Roman" w:cs="Times New Roman"/>
            <w:color w:val="0000FF"/>
            <w:sz w:val="24"/>
            <w:szCs w:val="24"/>
            <w:u w:val="single"/>
            <w:lang w:val="en-US" w:eastAsia="ru-RU"/>
          </w:rPr>
          <w:t>protists</w:t>
        </w:r>
      </w:hyperlink>
      <w:r w:rsidRPr="00C06CB8">
        <w:rPr>
          <w:rFonts w:ascii="Times New Roman" w:eastAsia="Times New Roman" w:hAnsi="Times New Roman" w:cs="Times New Roman"/>
          <w:sz w:val="24"/>
          <w:szCs w:val="24"/>
          <w:lang w:val="en-US" w:eastAsia="ru-RU"/>
        </w:rPr>
        <w:t xml:space="preserve">, and are among the first eukaryotes preserved in the fossil record. Taxonomic inconsistencies amongst acritarch workers have made it difficult to address the evolutionary history of this group through more traditional methods (i.e., biodiversity through species counts). We have constructed an empirical </w:t>
      </w:r>
      <w:hyperlink r:id="rId7" w:tooltip="Learn more about morphospace from ScienceDirect's AI-generated Topic Pages" w:history="1">
        <w:proofErr w:type="spellStart"/>
        <w:r w:rsidRPr="00C06CB8">
          <w:rPr>
            <w:rFonts w:ascii="Times New Roman" w:eastAsia="Times New Roman" w:hAnsi="Times New Roman" w:cs="Times New Roman"/>
            <w:color w:val="0000FF"/>
            <w:sz w:val="24"/>
            <w:szCs w:val="24"/>
            <w:u w:val="single"/>
            <w:lang w:val="en-US" w:eastAsia="ru-RU"/>
          </w:rPr>
          <w:t>morphospace</w:t>
        </w:r>
        <w:proofErr w:type="spellEnd"/>
      </w:hyperlink>
      <w:r w:rsidRPr="00C06CB8">
        <w:rPr>
          <w:rFonts w:ascii="Times New Roman" w:eastAsia="Times New Roman" w:hAnsi="Times New Roman" w:cs="Times New Roman"/>
          <w:sz w:val="24"/>
          <w:szCs w:val="24"/>
          <w:lang w:val="en-US" w:eastAsia="ru-RU"/>
        </w:rPr>
        <w:t xml:space="preserve"> to examine the first 1.3 billion years of acritarch evolution. We show that protist morphologic evolution is broadly correlated with major environmental and biologic revolutions in Earth history such as late Neoproterozoic global glaciations, the first appearance of the </w:t>
      </w:r>
      <w:hyperlink r:id="rId8" w:tooltip="Learn more about Ediacaran from ScienceDirect's AI-generated Topic Pages" w:history="1">
        <w:r w:rsidRPr="00C06CB8">
          <w:rPr>
            <w:rFonts w:ascii="Times New Roman" w:eastAsia="Times New Roman" w:hAnsi="Times New Roman" w:cs="Times New Roman"/>
            <w:color w:val="0000FF"/>
            <w:sz w:val="24"/>
            <w:szCs w:val="24"/>
            <w:u w:val="single"/>
            <w:lang w:val="en-US" w:eastAsia="ru-RU"/>
          </w:rPr>
          <w:t>Ediacaran</w:t>
        </w:r>
      </w:hyperlink>
      <w:r w:rsidRPr="00C06CB8">
        <w:rPr>
          <w:rFonts w:ascii="Times New Roman" w:eastAsia="Times New Roman" w:hAnsi="Times New Roman" w:cs="Times New Roman"/>
          <w:sz w:val="24"/>
          <w:szCs w:val="24"/>
          <w:lang w:val="en-US" w:eastAsia="ru-RU"/>
        </w:rPr>
        <w:t xml:space="preserve"> metazoans and the Cambrian explosion. Our results also show that protist morphologic expansion precedes their taxonomic diversification; this pattern, similar to that seen in </w:t>
      </w:r>
      <w:hyperlink r:id="rId9" w:tooltip="Learn more about Phanerozoic from ScienceDirect's AI-generated Topic Pages" w:history="1">
        <w:r w:rsidRPr="00C06CB8">
          <w:rPr>
            <w:rFonts w:ascii="Times New Roman" w:eastAsia="Times New Roman" w:hAnsi="Times New Roman" w:cs="Times New Roman"/>
            <w:color w:val="0000FF"/>
            <w:sz w:val="24"/>
            <w:szCs w:val="24"/>
            <w:u w:val="single"/>
            <w:lang w:val="en-US" w:eastAsia="ru-RU"/>
          </w:rPr>
          <w:t>Phanerozoic</w:t>
        </w:r>
      </w:hyperlink>
      <w:r w:rsidRPr="00C06CB8">
        <w:rPr>
          <w:rFonts w:ascii="Times New Roman" w:eastAsia="Times New Roman" w:hAnsi="Times New Roman" w:cs="Times New Roman"/>
          <w:sz w:val="24"/>
          <w:szCs w:val="24"/>
          <w:lang w:val="en-US" w:eastAsia="ru-RU"/>
        </w:rPr>
        <w:t xml:space="preserve"> animal clades, suggests that early </w:t>
      </w:r>
      <w:proofErr w:type="spellStart"/>
      <w:r w:rsidRPr="00C06CB8">
        <w:rPr>
          <w:rFonts w:ascii="Times New Roman" w:eastAsia="Times New Roman" w:hAnsi="Times New Roman" w:cs="Times New Roman"/>
          <w:sz w:val="24"/>
          <w:szCs w:val="24"/>
          <w:lang w:val="en-US" w:eastAsia="ru-RU"/>
        </w:rPr>
        <w:t>morphospace</w:t>
      </w:r>
      <w:proofErr w:type="spellEnd"/>
      <w:r w:rsidRPr="00C06CB8">
        <w:rPr>
          <w:rFonts w:ascii="Times New Roman" w:eastAsia="Times New Roman" w:hAnsi="Times New Roman" w:cs="Times New Roman"/>
          <w:sz w:val="24"/>
          <w:szCs w:val="24"/>
          <w:lang w:val="en-US" w:eastAsia="ru-RU"/>
        </w:rPr>
        <w:t xml:space="preserve"> saturation and convergence are common occurrences in eukaryote macroevolution. In addition, our data do not support a monotonic increase in maximum diameter of acritarch vesicles through the Proterozoic; instead, maximum vesicle diameter appears to fluctuate in the Proterozoic before decreasing significantly in the early Cambrian.</w:t>
      </w:r>
    </w:p>
    <w:p w:rsidR="00C06CB8" w:rsidRPr="00C06CB8" w:rsidRDefault="00C06CB8" w:rsidP="00C06CB8">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C06CB8">
        <w:rPr>
          <w:rFonts w:ascii="Times New Roman" w:eastAsia="Times New Roman" w:hAnsi="Times New Roman" w:cs="Times New Roman"/>
          <w:b/>
          <w:bCs/>
          <w:sz w:val="36"/>
          <w:szCs w:val="36"/>
          <w:lang w:val="en-US" w:eastAsia="ru-RU"/>
        </w:rPr>
        <w:t>Introduction</w:t>
      </w:r>
    </w:p>
    <w:p w:rsidR="00C06CB8" w:rsidRPr="00C06CB8" w:rsidRDefault="00C06CB8" w:rsidP="00C06CB8">
      <w:pPr>
        <w:spacing w:after="0" w:line="240" w:lineRule="auto"/>
        <w:rPr>
          <w:rFonts w:ascii="Times New Roman" w:eastAsia="Times New Roman" w:hAnsi="Times New Roman" w:cs="Times New Roman"/>
          <w:sz w:val="24"/>
          <w:szCs w:val="24"/>
          <w:lang w:val="en-US" w:eastAsia="ru-RU"/>
        </w:rPr>
      </w:pPr>
      <w:proofErr w:type="spellStart"/>
      <w:r w:rsidRPr="00C06CB8">
        <w:rPr>
          <w:rFonts w:ascii="Times New Roman" w:eastAsia="Times New Roman" w:hAnsi="Times New Roman" w:cs="Times New Roman"/>
          <w:sz w:val="24"/>
          <w:szCs w:val="24"/>
          <w:lang w:val="en-US" w:eastAsia="ru-RU"/>
        </w:rPr>
        <w:t>Acritarchs</w:t>
      </w:r>
      <w:proofErr w:type="spellEnd"/>
      <w:r w:rsidRPr="00C06CB8">
        <w:rPr>
          <w:rFonts w:ascii="Times New Roman" w:eastAsia="Times New Roman" w:hAnsi="Times New Roman" w:cs="Times New Roman"/>
          <w:sz w:val="24"/>
          <w:szCs w:val="24"/>
          <w:lang w:val="en-US" w:eastAsia="ru-RU"/>
        </w:rPr>
        <w:t xml:space="preserve">, a group of decay-resistant organic-walled vesicular microfossils, dominate the fossil record of Proterozoic (2500–542 Ma) and Cambrian (542–488 Ma) protists. Most </w:t>
      </w:r>
      <w:proofErr w:type="spellStart"/>
      <w:r w:rsidRPr="00C06CB8">
        <w:rPr>
          <w:rFonts w:ascii="Times New Roman" w:eastAsia="Times New Roman" w:hAnsi="Times New Roman" w:cs="Times New Roman"/>
          <w:sz w:val="24"/>
          <w:szCs w:val="24"/>
          <w:lang w:val="en-US" w:eastAsia="ru-RU"/>
        </w:rPr>
        <w:t>acritarchs</w:t>
      </w:r>
      <w:proofErr w:type="spellEnd"/>
      <w:r w:rsidRPr="00C06CB8">
        <w:rPr>
          <w:rFonts w:ascii="Times New Roman" w:eastAsia="Times New Roman" w:hAnsi="Times New Roman" w:cs="Times New Roman"/>
          <w:sz w:val="24"/>
          <w:szCs w:val="24"/>
          <w:lang w:val="en-US" w:eastAsia="ru-RU"/>
        </w:rPr>
        <w:t xml:space="preserve"> from the Proterozoic and Paleozoic are interpreted as unicelled photosynthetic protists, though some may represent multicellular algae (Mendelson, 1987, Butterfield, 2004), and a few have been tentatively interpreted as fungi (Butterfield, 2005). </w:t>
      </w:r>
      <w:proofErr w:type="spellStart"/>
      <w:r w:rsidRPr="00C06CB8">
        <w:rPr>
          <w:rFonts w:ascii="Times New Roman" w:eastAsia="Times New Roman" w:hAnsi="Times New Roman" w:cs="Times New Roman"/>
          <w:sz w:val="24"/>
          <w:szCs w:val="24"/>
          <w:lang w:val="en-US" w:eastAsia="ru-RU"/>
        </w:rPr>
        <w:t>Acritarchs</w:t>
      </w:r>
      <w:proofErr w:type="spellEnd"/>
      <w:r w:rsidRPr="00C06CB8">
        <w:rPr>
          <w:rFonts w:ascii="Times New Roman" w:eastAsia="Times New Roman" w:hAnsi="Times New Roman" w:cs="Times New Roman"/>
          <w:sz w:val="24"/>
          <w:szCs w:val="24"/>
          <w:lang w:val="en-US" w:eastAsia="ru-RU"/>
        </w:rPr>
        <w:t xml:space="preserve"> are among the oldest eukaryotes in the fossil record (Zhang, 1986, Yan, 1991) and offer the earliest adequate data to assess the history of </w:t>
      </w:r>
      <w:proofErr w:type="spellStart"/>
      <w:r w:rsidRPr="00C06CB8">
        <w:rPr>
          <w:rFonts w:ascii="Times New Roman" w:eastAsia="Times New Roman" w:hAnsi="Times New Roman" w:cs="Times New Roman"/>
          <w:sz w:val="24"/>
          <w:szCs w:val="24"/>
          <w:lang w:val="en-US" w:eastAsia="ru-RU"/>
        </w:rPr>
        <w:t>protistan</w:t>
      </w:r>
      <w:proofErr w:type="spellEnd"/>
      <w:r w:rsidRPr="00C06CB8">
        <w:rPr>
          <w:rFonts w:ascii="Times New Roman" w:eastAsia="Times New Roman" w:hAnsi="Times New Roman" w:cs="Times New Roman"/>
          <w:sz w:val="24"/>
          <w:szCs w:val="24"/>
          <w:lang w:val="en-US" w:eastAsia="ru-RU"/>
        </w:rPr>
        <w:t xml:space="preserve"> biodiversity (Knoll, 1994, Vidal and </w:t>
      </w:r>
      <w:proofErr w:type="spellStart"/>
      <w:r w:rsidRPr="00C06CB8">
        <w:rPr>
          <w:rFonts w:ascii="Times New Roman" w:eastAsia="Times New Roman" w:hAnsi="Times New Roman" w:cs="Times New Roman"/>
          <w:sz w:val="24"/>
          <w:szCs w:val="24"/>
          <w:lang w:val="en-US" w:eastAsia="ru-RU"/>
        </w:rPr>
        <w:t>Moczydlowska</w:t>
      </w:r>
      <w:proofErr w:type="spellEnd"/>
      <w:r w:rsidRPr="00C06CB8">
        <w:rPr>
          <w:rFonts w:ascii="Times New Roman" w:eastAsia="Times New Roman" w:hAnsi="Times New Roman" w:cs="Times New Roman"/>
          <w:sz w:val="24"/>
          <w:szCs w:val="24"/>
          <w:lang w:val="en-US" w:eastAsia="ru-RU"/>
        </w:rPr>
        <w:t>-Vidal, 1997).</w:t>
      </w:r>
    </w:p>
    <w:p w:rsidR="00C06CB8" w:rsidRPr="00C06CB8" w:rsidRDefault="00C06CB8" w:rsidP="00C06CB8">
      <w:pPr>
        <w:spacing w:after="0" w:line="240" w:lineRule="auto"/>
        <w:rPr>
          <w:rFonts w:ascii="Times New Roman" w:eastAsia="Times New Roman" w:hAnsi="Times New Roman" w:cs="Times New Roman"/>
          <w:sz w:val="24"/>
          <w:szCs w:val="24"/>
          <w:lang w:val="en-US" w:eastAsia="ru-RU"/>
        </w:rPr>
      </w:pPr>
      <w:r w:rsidRPr="00C06CB8">
        <w:rPr>
          <w:rFonts w:ascii="Times New Roman" w:eastAsia="Times New Roman" w:hAnsi="Times New Roman" w:cs="Times New Roman"/>
          <w:sz w:val="24"/>
          <w:szCs w:val="24"/>
          <w:lang w:val="en-US" w:eastAsia="ru-RU"/>
        </w:rPr>
        <w:t xml:space="preserve">Previous estimates of acritarch diversity suggest that the number of acritarch species was low from the first occurrence in the Paleoproterozoic to as late as the early Neoproterozoic (Fig. 1). Acritarch taxonomic diversity began to increase through the Neoproterozoic, but suffered a decline during mid-Neoproterozoic glaciation events. An unprecedented, though short-lived, diversification occurred after these glaciation events, and was then followed by a taxonomic decline, concurrent with the rise of macroscopic </w:t>
      </w:r>
      <w:proofErr w:type="spellStart"/>
      <w:r w:rsidRPr="00C06CB8">
        <w:rPr>
          <w:rFonts w:ascii="Times New Roman" w:eastAsia="Times New Roman" w:hAnsi="Times New Roman" w:cs="Times New Roman"/>
          <w:sz w:val="24"/>
          <w:szCs w:val="24"/>
          <w:lang w:val="en-US" w:eastAsia="ru-RU"/>
        </w:rPr>
        <w:t>Ediacara</w:t>
      </w:r>
      <w:proofErr w:type="spellEnd"/>
      <w:r w:rsidRPr="00C06CB8">
        <w:rPr>
          <w:rFonts w:ascii="Times New Roman" w:eastAsia="Times New Roman" w:hAnsi="Times New Roman" w:cs="Times New Roman"/>
          <w:sz w:val="24"/>
          <w:szCs w:val="24"/>
          <w:lang w:val="en-US" w:eastAsia="ru-RU"/>
        </w:rPr>
        <w:t xml:space="preserve"> organisms, some of which clearly were metazoans (</w:t>
      </w:r>
      <w:proofErr w:type="spellStart"/>
      <w:r w:rsidRPr="00C06CB8">
        <w:rPr>
          <w:rFonts w:ascii="Times New Roman" w:eastAsia="Times New Roman" w:hAnsi="Times New Roman" w:cs="Times New Roman"/>
          <w:sz w:val="24"/>
          <w:szCs w:val="24"/>
          <w:lang w:val="en-US" w:eastAsia="ru-RU"/>
        </w:rPr>
        <w:t>Fedonkin</w:t>
      </w:r>
      <w:proofErr w:type="spellEnd"/>
      <w:r w:rsidRPr="00C06CB8">
        <w:rPr>
          <w:rFonts w:ascii="Times New Roman" w:eastAsia="Times New Roman" w:hAnsi="Times New Roman" w:cs="Times New Roman"/>
          <w:sz w:val="24"/>
          <w:szCs w:val="24"/>
          <w:lang w:val="en-US" w:eastAsia="ru-RU"/>
        </w:rPr>
        <w:t xml:space="preserve"> and Waggoner, 1997). Acritarch taxonomic diversity subsequently increased in step with animal radiation in the early Cambrian (Knoll, 1994, Vidal and </w:t>
      </w:r>
      <w:proofErr w:type="spellStart"/>
      <w:r w:rsidRPr="00C06CB8">
        <w:rPr>
          <w:rFonts w:ascii="Times New Roman" w:eastAsia="Times New Roman" w:hAnsi="Times New Roman" w:cs="Times New Roman"/>
          <w:sz w:val="24"/>
          <w:szCs w:val="24"/>
          <w:lang w:val="en-US" w:eastAsia="ru-RU"/>
        </w:rPr>
        <w:t>Moczydlowska</w:t>
      </w:r>
      <w:proofErr w:type="spellEnd"/>
      <w:r w:rsidRPr="00C06CB8">
        <w:rPr>
          <w:rFonts w:ascii="Times New Roman" w:eastAsia="Times New Roman" w:hAnsi="Times New Roman" w:cs="Times New Roman"/>
          <w:sz w:val="24"/>
          <w:szCs w:val="24"/>
          <w:lang w:val="en-US" w:eastAsia="ru-RU"/>
        </w:rPr>
        <w:t>-Vidal, 1997).</w:t>
      </w:r>
    </w:p>
    <w:p w:rsidR="00C06CB8" w:rsidRPr="00C06CB8" w:rsidRDefault="00C06CB8" w:rsidP="00C06CB8">
      <w:pPr>
        <w:spacing w:after="0" w:line="240" w:lineRule="auto"/>
        <w:rPr>
          <w:rFonts w:ascii="Times New Roman" w:eastAsia="Times New Roman" w:hAnsi="Times New Roman" w:cs="Times New Roman"/>
          <w:sz w:val="24"/>
          <w:szCs w:val="24"/>
          <w:lang w:val="en-US" w:eastAsia="ru-RU"/>
        </w:rPr>
      </w:pPr>
      <w:r w:rsidRPr="00C06CB8">
        <w:rPr>
          <w:rFonts w:ascii="Times New Roman" w:eastAsia="Times New Roman" w:hAnsi="Times New Roman" w:cs="Times New Roman"/>
          <w:sz w:val="24"/>
          <w:szCs w:val="24"/>
          <w:lang w:val="en-US" w:eastAsia="ru-RU"/>
        </w:rPr>
        <w:t xml:space="preserve">Taxonomic inconsistencies have caused some to question the validity of </w:t>
      </w:r>
      <w:proofErr w:type="spellStart"/>
      <w:r w:rsidRPr="00C06CB8">
        <w:rPr>
          <w:rFonts w:ascii="Times New Roman" w:eastAsia="Times New Roman" w:hAnsi="Times New Roman" w:cs="Times New Roman"/>
          <w:sz w:val="24"/>
          <w:szCs w:val="24"/>
          <w:lang w:val="en-US" w:eastAsia="ru-RU"/>
        </w:rPr>
        <w:t>taxic</w:t>
      </w:r>
      <w:proofErr w:type="spellEnd"/>
      <w:r w:rsidRPr="00C06CB8">
        <w:rPr>
          <w:rFonts w:ascii="Times New Roman" w:eastAsia="Times New Roman" w:hAnsi="Times New Roman" w:cs="Times New Roman"/>
          <w:sz w:val="24"/>
          <w:szCs w:val="24"/>
          <w:lang w:val="en-US" w:eastAsia="ru-RU"/>
        </w:rPr>
        <w:t xml:space="preserve"> measures of </w:t>
      </w:r>
      <w:proofErr w:type="spellStart"/>
      <w:r w:rsidRPr="00C06CB8">
        <w:rPr>
          <w:rFonts w:ascii="Times New Roman" w:eastAsia="Times New Roman" w:hAnsi="Times New Roman" w:cs="Times New Roman"/>
          <w:sz w:val="24"/>
          <w:szCs w:val="24"/>
          <w:lang w:val="en-US" w:eastAsia="ru-RU"/>
        </w:rPr>
        <w:t>protistan</w:t>
      </w:r>
      <w:proofErr w:type="spellEnd"/>
      <w:r w:rsidRPr="00C06CB8">
        <w:rPr>
          <w:rFonts w:ascii="Times New Roman" w:eastAsia="Times New Roman" w:hAnsi="Times New Roman" w:cs="Times New Roman"/>
          <w:sz w:val="24"/>
          <w:szCs w:val="24"/>
          <w:lang w:val="en-US" w:eastAsia="ru-RU"/>
        </w:rPr>
        <w:t xml:space="preserve"> biodiversity (Butterfield, 2004). The problem is common in paleontology, and can be acute in the study of </w:t>
      </w:r>
      <w:proofErr w:type="spellStart"/>
      <w:r w:rsidRPr="00C06CB8">
        <w:rPr>
          <w:rFonts w:ascii="Times New Roman" w:eastAsia="Times New Roman" w:hAnsi="Times New Roman" w:cs="Times New Roman"/>
          <w:sz w:val="24"/>
          <w:szCs w:val="24"/>
          <w:lang w:val="en-US" w:eastAsia="ru-RU"/>
        </w:rPr>
        <w:t>acritarchs</w:t>
      </w:r>
      <w:proofErr w:type="spellEnd"/>
      <w:r w:rsidRPr="00C06CB8">
        <w:rPr>
          <w:rFonts w:ascii="Times New Roman" w:eastAsia="Times New Roman" w:hAnsi="Times New Roman" w:cs="Times New Roman"/>
          <w:sz w:val="24"/>
          <w:szCs w:val="24"/>
          <w:lang w:val="en-US" w:eastAsia="ru-RU"/>
        </w:rPr>
        <w:t>. Evolutionary convergence among simple protists can lead to taxonomic deflation, or an underestimation of diversity; whereas the heteromorphic alternation of generations can lead to taxonomic inflation, or an overestimation of diversity (Butterfield, 2004).</w:t>
      </w:r>
    </w:p>
    <w:p w:rsidR="00C06CB8" w:rsidRPr="00C06CB8" w:rsidRDefault="00C06CB8" w:rsidP="00C06CB8">
      <w:pPr>
        <w:spacing w:after="0" w:line="240" w:lineRule="auto"/>
        <w:rPr>
          <w:rFonts w:ascii="Times New Roman" w:eastAsia="Times New Roman" w:hAnsi="Times New Roman" w:cs="Times New Roman"/>
          <w:sz w:val="24"/>
          <w:szCs w:val="24"/>
          <w:lang w:val="en-US" w:eastAsia="ru-RU"/>
        </w:rPr>
      </w:pPr>
      <w:r w:rsidRPr="00C06CB8">
        <w:rPr>
          <w:rFonts w:ascii="Times New Roman" w:eastAsia="Times New Roman" w:hAnsi="Times New Roman" w:cs="Times New Roman"/>
          <w:sz w:val="24"/>
          <w:szCs w:val="24"/>
          <w:lang w:val="en-US" w:eastAsia="ru-RU"/>
        </w:rPr>
        <w:t xml:space="preserve">The usefulness of morphometric tools in the analysis of Phanerozoic organisms (Foote and Gould, 1992, Boyce, 2005) encouraged us to use such strategies to independently clarify the </w:t>
      </w:r>
      <w:r w:rsidRPr="00C06CB8">
        <w:rPr>
          <w:rFonts w:ascii="Times New Roman" w:eastAsia="Times New Roman" w:hAnsi="Times New Roman" w:cs="Times New Roman"/>
          <w:sz w:val="24"/>
          <w:szCs w:val="24"/>
          <w:lang w:val="en-US" w:eastAsia="ru-RU"/>
        </w:rPr>
        <w:lastRenderedPageBreak/>
        <w:t xml:space="preserve">morphological history of </w:t>
      </w:r>
      <w:proofErr w:type="spellStart"/>
      <w:r w:rsidRPr="00C06CB8">
        <w:rPr>
          <w:rFonts w:ascii="Times New Roman" w:eastAsia="Times New Roman" w:hAnsi="Times New Roman" w:cs="Times New Roman"/>
          <w:sz w:val="24"/>
          <w:szCs w:val="24"/>
          <w:lang w:val="en-US" w:eastAsia="ru-RU"/>
        </w:rPr>
        <w:t>acritarchs</w:t>
      </w:r>
      <w:proofErr w:type="spellEnd"/>
      <w:r w:rsidRPr="00C06CB8">
        <w:rPr>
          <w:rFonts w:ascii="Times New Roman" w:eastAsia="Times New Roman" w:hAnsi="Times New Roman" w:cs="Times New Roman"/>
          <w:sz w:val="24"/>
          <w:szCs w:val="24"/>
          <w:lang w:val="en-US" w:eastAsia="ru-RU"/>
        </w:rPr>
        <w:t xml:space="preserve">. If acritarch diversity is merely a reflection of form taxa in a uniformly populated </w:t>
      </w:r>
      <w:proofErr w:type="spellStart"/>
      <w:r w:rsidRPr="00C06CB8">
        <w:rPr>
          <w:rFonts w:ascii="Times New Roman" w:eastAsia="Times New Roman" w:hAnsi="Times New Roman" w:cs="Times New Roman"/>
          <w:sz w:val="24"/>
          <w:szCs w:val="24"/>
          <w:lang w:val="en-US" w:eastAsia="ru-RU"/>
        </w:rPr>
        <w:t>morphospace</w:t>
      </w:r>
      <w:proofErr w:type="spellEnd"/>
      <w:r w:rsidRPr="00C06CB8">
        <w:rPr>
          <w:rFonts w:ascii="Times New Roman" w:eastAsia="Times New Roman" w:hAnsi="Times New Roman" w:cs="Times New Roman"/>
          <w:sz w:val="24"/>
          <w:szCs w:val="24"/>
          <w:lang w:val="en-US" w:eastAsia="ru-RU"/>
        </w:rPr>
        <w:t xml:space="preserve">, patterns of morphological disparity and taxonomic diversity should match one another. In contrast, a mismatch would indicate either inconsistent form taxonomy or unevenly populated </w:t>
      </w:r>
      <w:proofErr w:type="spellStart"/>
      <w:r w:rsidRPr="00C06CB8">
        <w:rPr>
          <w:rFonts w:ascii="Times New Roman" w:eastAsia="Times New Roman" w:hAnsi="Times New Roman" w:cs="Times New Roman"/>
          <w:sz w:val="24"/>
          <w:szCs w:val="24"/>
          <w:lang w:val="en-US" w:eastAsia="ru-RU"/>
        </w:rPr>
        <w:t>morphospace</w:t>
      </w:r>
      <w:proofErr w:type="spellEnd"/>
      <w:r w:rsidRPr="00C06CB8">
        <w:rPr>
          <w:rFonts w:ascii="Times New Roman" w:eastAsia="Times New Roman" w:hAnsi="Times New Roman" w:cs="Times New Roman"/>
          <w:sz w:val="24"/>
          <w:szCs w:val="24"/>
          <w:lang w:val="en-US" w:eastAsia="ru-RU"/>
        </w:rPr>
        <w:t>. By contrasting diversity and disparity patterns, we can also quantitatively address the issue of morphological constraint and convergence.</w:t>
      </w:r>
    </w:p>
    <w:p w:rsidR="00C06CB8" w:rsidRPr="00C06CB8" w:rsidRDefault="00C06CB8" w:rsidP="00C06CB8">
      <w:pPr>
        <w:spacing w:after="0" w:line="240" w:lineRule="auto"/>
        <w:rPr>
          <w:rFonts w:ascii="Times New Roman" w:eastAsia="Times New Roman" w:hAnsi="Times New Roman" w:cs="Times New Roman"/>
          <w:sz w:val="24"/>
          <w:szCs w:val="24"/>
          <w:lang w:val="en-US" w:eastAsia="ru-RU"/>
        </w:rPr>
      </w:pPr>
      <w:r w:rsidRPr="00C06CB8">
        <w:rPr>
          <w:rFonts w:ascii="Times New Roman" w:eastAsia="Times New Roman" w:hAnsi="Times New Roman" w:cs="Times New Roman"/>
          <w:sz w:val="24"/>
          <w:szCs w:val="24"/>
          <w:lang w:val="en-US" w:eastAsia="ru-RU"/>
        </w:rPr>
        <w:t xml:space="preserve">Taxonomy aside, quantitative morphological analysis would also allow us to quantitatively address a number of questions related to acritarch evolution, including, among others, the relation between acritarch disparity and major environmental and biotic events. To address these questions, we conducted a literature-based investigation of the first 1.3 billion years of morphological evolution in the Group </w:t>
      </w:r>
      <w:proofErr w:type="spellStart"/>
      <w:r w:rsidRPr="00C06CB8">
        <w:rPr>
          <w:rFonts w:ascii="Times New Roman" w:eastAsia="Times New Roman" w:hAnsi="Times New Roman" w:cs="Times New Roman"/>
          <w:sz w:val="24"/>
          <w:szCs w:val="24"/>
          <w:lang w:val="en-US" w:eastAsia="ru-RU"/>
        </w:rPr>
        <w:t>Acritarcha</w:t>
      </w:r>
      <w:proofErr w:type="spellEnd"/>
      <w:r w:rsidRPr="00C06CB8">
        <w:rPr>
          <w:rFonts w:ascii="Times New Roman" w:eastAsia="Times New Roman" w:hAnsi="Times New Roman" w:cs="Times New Roman"/>
          <w:sz w:val="24"/>
          <w:szCs w:val="24"/>
          <w:lang w:val="en-US" w:eastAsia="ru-RU"/>
        </w:rPr>
        <w:t>.</w:t>
      </w:r>
    </w:p>
    <w:p w:rsidR="00C06CB8" w:rsidRPr="00C06CB8" w:rsidRDefault="00C06CB8" w:rsidP="00C06CB8">
      <w:pPr>
        <w:spacing w:before="100" w:beforeAutospacing="1" w:after="100" w:afterAutospacing="1" w:line="240" w:lineRule="auto"/>
        <w:outlineLvl w:val="1"/>
        <w:rPr>
          <w:rFonts w:ascii="Times New Roman" w:eastAsia="Times New Roman" w:hAnsi="Times New Roman" w:cs="Times New Roman"/>
          <w:b/>
          <w:bCs/>
          <w:sz w:val="36"/>
          <w:szCs w:val="36"/>
          <w:lang w:eastAsia="ru-RU"/>
        </w:rPr>
      </w:pPr>
      <w:proofErr w:type="spellStart"/>
      <w:r w:rsidRPr="00C06CB8">
        <w:rPr>
          <w:rFonts w:ascii="Times New Roman" w:eastAsia="Times New Roman" w:hAnsi="Times New Roman" w:cs="Times New Roman"/>
          <w:b/>
          <w:bCs/>
          <w:sz w:val="36"/>
          <w:szCs w:val="36"/>
          <w:lang w:eastAsia="ru-RU"/>
        </w:rPr>
        <w:t>Section</w:t>
      </w:r>
      <w:proofErr w:type="spellEnd"/>
      <w:r w:rsidRPr="00C06CB8">
        <w:rPr>
          <w:rFonts w:ascii="Times New Roman" w:eastAsia="Times New Roman" w:hAnsi="Times New Roman" w:cs="Times New Roman"/>
          <w:b/>
          <w:bCs/>
          <w:sz w:val="36"/>
          <w:szCs w:val="36"/>
          <w:lang w:eastAsia="ru-RU"/>
        </w:rPr>
        <w:t xml:space="preserve"> </w:t>
      </w:r>
      <w:proofErr w:type="spellStart"/>
      <w:r w:rsidRPr="00C06CB8">
        <w:rPr>
          <w:rFonts w:ascii="Times New Roman" w:eastAsia="Times New Roman" w:hAnsi="Times New Roman" w:cs="Times New Roman"/>
          <w:b/>
          <w:bCs/>
          <w:sz w:val="36"/>
          <w:szCs w:val="36"/>
          <w:lang w:eastAsia="ru-RU"/>
        </w:rPr>
        <w:t>snippets</w:t>
      </w:r>
      <w:proofErr w:type="spellEnd"/>
    </w:p>
    <w:p w:rsidR="00C06CB8" w:rsidRPr="00C06CB8" w:rsidRDefault="00C06CB8" w:rsidP="00C06CB8">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C06CB8">
        <w:rPr>
          <w:rFonts w:ascii="Times New Roman" w:eastAsia="Times New Roman" w:hAnsi="Times New Roman" w:cs="Times New Roman"/>
          <w:b/>
          <w:bCs/>
          <w:sz w:val="36"/>
          <w:szCs w:val="36"/>
          <w:lang w:val="en-US" w:eastAsia="ru-RU"/>
        </w:rPr>
        <w:t>Methodology</w:t>
      </w:r>
    </w:p>
    <w:p w:rsidR="00C06CB8" w:rsidRPr="00C06CB8" w:rsidRDefault="00C06CB8" w:rsidP="00C06CB8">
      <w:pPr>
        <w:spacing w:after="0" w:line="240" w:lineRule="auto"/>
        <w:rPr>
          <w:rFonts w:ascii="Times New Roman" w:eastAsia="Times New Roman" w:hAnsi="Times New Roman" w:cs="Times New Roman"/>
          <w:sz w:val="24"/>
          <w:szCs w:val="24"/>
          <w:lang w:val="en-US" w:eastAsia="ru-RU"/>
        </w:rPr>
      </w:pPr>
      <w:r w:rsidRPr="00C06CB8">
        <w:rPr>
          <w:rFonts w:ascii="Times New Roman" w:eastAsia="Times New Roman" w:hAnsi="Times New Roman" w:cs="Times New Roman"/>
          <w:sz w:val="24"/>
          <w:szCs w:val="24"/>
          <w:lang w:val="en-US" w:eastAsia="ru-RU"/>
        </w:rPr>
        <w:t xml:space="preserve">We used a literature-based morphometric approach to examine the evolutionary history of </w:t>
      </w:r>
      <w:proofErr w:type="spellStart"/>
      <w:r w:rsidRPr="00C06CB8">
        <w:rPr>
          <w:rFonts w:ascii="Times New Roman" w:eastAsia="Times New Roman" w:hAnsi="Times New Roman" w:cs="Times New Roman"/>
          <w:sz w:val="24"/>
          <w:szCs w:val="24"/>
          <w:lang w:val="en-US" w:eastAsia="ru-RU"/>
        </w:rPr>
        <w:t>acritarchs</w:t>
      </w:r>
      <w:proofErr w:type="spellEnd"/>
      <w:r w:rsidRPr="00C06CB8">
        <w:rPr>
          <w:rFonts w:ascii="Times New Roman" w:eastAsia="Times New Roman" w:hAnsi="Times New Roman" w:cs="Times New Roman"/>
          <w:sz w:val="24"/>
          <w:szCs w:val="24"/>
          <w:lang w:val="en-US" w:eastAsia="ru-RU"/>
        </w:rPr>
        <w:t xml:space="preserve"> from their first appearance in the Paleoproterozoic through the Cambrian. An extensive (although by no means exhaustive) literature review, utilizing 50 publications (Table 1), produced a database of species descriptions from 47 stratigraphic intervals representing 778 species occurrences (the occurrence of a species in a lithostratigraphic unit), 247 locations and 1766 processed rock samples. The </w:t>
      </w:r>
    </w:p>
    <w:p w:rsidR="00C06CB8" w:rsidRPr="00C06CB8" w:rsidRDefault="00C06CB8" w:rsidP="00C06CB8">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C06CB8">
        <w:rPr>
          <w:rFonts w:ascii="Times New Roman" w:eastAsia="Times New Roman" w:hAnsi="Times New Roman" w:cs="Times New Roman"/>
          <w:b/>
          <w:bCs/>
          <w:sz w:val="36"/>
          <w:szCs w:val="36"/>
          <w:lang w:val="en-US" w:eastAsia="ru-RU"/>
        </w:rPr>
        <w:t>Body size analysis</w:t>
      </w:r>
    </w:p>
    <w:p w:rsidR="00C06CB8" w:rsidRPr="00C06CB8" w:rsidRDefault="00C06CB8" w:rsidP="00C06CB8">
      <w:pPr>
        <w:spacing w:after="0" w:line="240" w:lineRule="auto"/>
        <w:rPr>
          <w:rFonts w:ascii="Times New Roman" w:eastAsia="Times New Roman" w:hAnsi="Times New Roman" w:cs="Times New Roman"/>
          <w:sz w:val="24"/>
          <w:szCs w:val="24"/>
          <w:lang w:val="en-US" w:eastAsia="ru-RU"/>
        </w:rPr>
      </w:pPr>
      <w:r w:rsidRPr="00C06CB8">
        <w:rPr>
          <w:rFonts w:ascii="Times New Roman" w:eastAsia="Times New Roman" w:hAnsi="Times New Roman" w:cs="Times New Roman"/>
          <w:sz w:val="24"/>
          <w:szCs w:val="24"/>
          <w:lang w:val="en-US" w:eastAsia="ru-RU"/>
        </w:rPr>
        <w:t xml:space="preserve">The average maximum vesicle diameter of </w:t>
      </w:r>
      <w:proofErr w:type="spellStart"/>
      <w:r w:rsidRPr="00C06CB8">
        <w:rPr>
          <w:rFonts w:ascii="Times New Roman" w:eastAsia="Times New Roman" w:hAnsi="Times New Roman" w:cs="Times New Roman"/>
          <w:sz w:val="24"/>
          <w:szCs w:val="24"/>
          <w:lang w:val="en-US" w:eastAsia="ru-RU"/>
        </w:rPr>
        <w:t>acritarchs</w:t>
      </w:r>
      <w:proofErr w:type="spellEnd"/>
      <w:r w:rsidRPr="00C06CB8">
        <w:rPr>
          <w:rFonts w:ascii="Times New Roman" w:eastAsia="Times New Roman" w:hAnsi="Times New Roman" w:cs="Times New Roman"/>
          <w:sz w:val="24"/>
          <w:szCs w:val="24"/>
          <w:lang w:val="en-US" w:eastAsia="ru-RU"/>
        </w:rPr>
        <w:t xml:space="preserve"> displayed non-directional fluctuation through the Proterozoic (Fig. 2). Acritarch body size decreased significantly across the Neoproterozoic–Paleozoic transition, but had increased significantly by the middle/late Cambrian (though not to the size seen in the late Neoproterozoic). The mean and figure vesicle diameter displayed a similar pattern, though typically at smaller sizes (Fig. 2). Average maximum diameter and average figure diameter are </w:t>
      </w:r>
    </w:p>
    <w:p w:rsidR="00C06CB8" w:rsidRPr="00C06CB8" w:rsidRDefault="00C06CB8" w:rsidP="00C06CB8">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C06CB8">
        <w:rPr>
          <w:rFonts w:ascii="Times New Roman" w:eastAsia="Times New Roman" w:hAnsi="Times New Roman" w:cs="Times New Roman"/>
          <w:b/>
          <w:bCs/>
          <w:sz w:val="36"/>
          <w:szCs w:val="36"/>
          <w:lang w:val="en-US" w:eastAsia="ru-RU"/>
        </w:rPr>
        <w:t>Comparative histories of taxonomic diversity and morphological disparity</w:t>
      </w:r>
    </w:p>
    <w:p w:rsidR="00C06CB8" w:rsidRPr="00C06CB8" w:rsidRDefault="00C06CB8" w:rsidP="00C06CB8">
      <w:pPr>
        <w:spacing w:after="0" w:line="240" w:lineRule="auto"/>
        <w:rPr>
          <w:rFonts w:ascii="Times New Roman" w:eastAsia="Times New Roman" w:hAnsi="Times New Roman" w:cs="Times New Roman"/>
          <w:sz w:val="24"/>
          <w:szCs w:val="24"/>
          <w:lang w:val="en-US" w:eastAsia="ru-RU"/>
        </w:rPr>
      </w:pPr>
      <w:r w:rsidRPr="00C06CB8">
        <w:rPr>
          <w:rFonts w:ascii="Times New Roman" w:eastAsia="Times New Roman" w:hAnsi="Times New Roman" w:cs="Times New Roman"/>
          <w:sz w:val="24"/>
          <w:szCs w:val="24"/>
          <w:lang w:val="en-US" w:eastAsia="ru-RU"/>
        </w:rPr>
        <w:t xml:space="preserve">The overall pattern of morphological disparity (as approximated by mean dissimilarity coefficients, MDS variance, and stratigraphic ranges of individual morphological characters) appears to be broadly similar to the taxonomic pattern assembled by other investigators (Knoll, 1994, Vidal and </w:t>
      </w:r>
      <w:proofErr w:type="spellStart"/>
      <w:r w:rsidRPr="00C06CB8">
        <w:rPr>
          <w:rFonts w:ascii="Times New Roman" w:eastAsia="Times New Roman" w:hAnsi="Times New Roman" w:cs="Times New Roman"/>
          <w:sz w:val="24"/>
          <w:szCs w:val="24"/>
          <w:lang w:val="en-US" w:eastAsia="ru-RU"/>
        </w:rPr>
        <w:t>Moczydlowska</w:t>
      </w:r>
      <w:proofErr w:type="spellEnd"/>
      <w:r w:rsidRPr="00C06CB8">
        <w:rPr>
          <w:rFonts w:ascii="Times New Roman" w:eastAsia="Times New Roman" w:hAnsi="Times New Roman" w:cs="Times New Roman"/>
          <w:sz w:val="24"/>
          <w:szCs w:val="24"/>
          <w:lang w:val="en-US" w:eastAsia="ru-RU"/>
        </w:rPr>
        <w:t xml:space="preserve">-Vidal, 1997) and indicated by our own data (Fig. 3C). The dramatic mismatch between Paleoproterozoic disparity (Fig. 3A and B) and diversity (Fig. 3C) is clearly due to taxonomic </w:t>
      </w:r>
      <w:proofErr w:type="spellStart"/>
      <w:r w:rsidRPr="00C06CB8">
        <w:rPr>
          <w:rFonts w:ascii="Times New Roman" w:eastAsia="Times New Roman" w:hAnsi="Times New Roman" w:cs="Times New Roman"/>
          <w:sz w:val="24"/>
          <w:szCs w:val="24"/>
          <w:lang w:val="en-US" w:eastAsia="ru-RU"/>
        </w:rPr>
        <w:t>oversplitting</w:t>
      </w:r>
      <w:proofErr w:type="spellEnd"/>
      <w:r w:rsidRPr="00C06CB8">
        <w:rPr>
          <w:rFonts w:ascii="Times New Roman" w:eastAsia="Times New Roman" w:hAnsi="Times New Roman" w:cs="Times New Roman"/>
          <w:sz w:val="24"/>
          <w:szCs w:val="24"/>
          <w:lang w:val="en-US" w:eastAsia="ru-RU"/>
        </w:rPr>
        <w:t xml:space="preserve"> in </w:t>
      </w:r>
    </w:p>
    <w:p w:rsidR="00C06CB8" w:rsidRPr="00C06CB8" w:rsidRDefault="00C06CB8" w:rsidP="00C06CB8">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C06CB8">
        <w:rPr>
          <w:rFonts w:ascii="Times New Roman" w:eastAsia="Times New Roman" w:hAnsi="Times New Roman" w:cs="Times New Roman"/>
          <w:b/>
          <w:bCs/>
          <w:sz w:val="36"/>
          <w:szCs w:val="36"/>
          <w:lang w:val="en-US" w:eastAsia="ru-RU"/>
        </w:rPr>
        <w:t>Conclusions</w:t>
      </w:r>
    </w:p>
    <w:p w:rsidR="00C06CB8" w:rsidRPr="00C06CB8" w:rsidRDefault="00C06CB8" w:rsidP="00C06CB8">
      <w:pPr>
        <w:spacing w:after="0" w:line="240" w:lineRule="auto"/>
        <w:rPr>
          <w:rFonts w:ascii="Times New Roman" w:eastAsia="Times New Roman" w:hAnsi="Times New Roman" w:cs="Times New Roman"/>
          <w:sz w:val="24"/>
          <w:szCs w:val="24"/>
          <w:lang w:val="en-US" w:eastAsia="ru-RU"/>
        </w:rPr>
      </w:pPr>
      <w:r w:rsidRPr="00C06CB8">
        <w:rPr>
          <w:rFonts w:ascii="Times New Roman" w:eastAsia="Times New Roman" w:hAnsi="Times New Roman" w:cs="Times New Roman"/>
          <w:sz w:val="24"/>
          <w:szCs w:val="24"/>
          <w:lang w:val="en-US" w:eastAsia="ru-RU"/>
        </w:rPr>
        <w:t xml:space="preserve">We utilized the acritarch literature to produce an empirical </w:t>
      </w:r>
      <w:proofErr w:type="spellStart"/>
      <w:r w:rsidRPr="00C06CB8">
        <w:rPr>
          <w:rFonts w:ascii="Times New Roman" w:eastAsia="Times New Roman" w:hAnsi="Times New Roman" w:cs="Times New Roman"/>
          <w:sz w:val="24"/>
          <w:szCs w:val="24"/>
          <w:lang w:val="en-US" w:eastAsia="ru-RU"/>
        </w:rPr>
        <w:t>morphospace</w:t>
      </w:r>
      <w:proofErr w:type="spellEnd"/>
      <w:r w:rsidRPr="00C06CB8">
        <w:rPr>
          <w:rFonts w:ascii="Times New Roman" w:eastAsia="Times New Roman" w:hAnsi="Times New Roman" w:cs="Times New Roman"/>
          <w:sz w:val="24"/>
          <w:szCs w:val="24"/>
          <w:lang w:val="en-US" w:eastAsia="ru-RU"/>
        </w:rPr>
        <w:t xml:space="preserve"> that describes the evolution of Proterozoic and Cambrian </w:t>
      </w:r>
      <w:proofErr w:type="spellStart"/>
      <w:r w:rsidRPr="00C06CB8">
        <w:rPr>
          <w:rFonts w:ascii="Times New Roman" w:eastAsia="Times New Roman" w:hAnsi="Times New Roman" w:cs="Times New Roman"/>
          <w:sz w:val="24"/>
          <w:szCs w:val="24"/>
          <w:lang w:val="en-US" w:eastAsia="ru-RU"/>
        </w:rPr>
        <w:t>acritarchs</w:t>
      </w:r>
      <w:proofErr w:type="spellEnd"/>
      <w:r w:rsidRPr="00C06CB8">
        <w:rPr>
          <w:rFonts w:ascii="Times New Roman" w:eastAsia="Times New Roman" w:hAnsi="Times New Roman" w:cs="Times New Roman"/>
          <w:sz w:val="24"/>
          <w:szCs w:val="24"/>
          <w:lang w:val="en-US" w:eastAsia="ru-RU"/>
        </w:rPr>
        <w:t>. Acritarch body size fluctuated non-directionally through the Proterozoic, but decreased significantly across the Ediacaran–Cambrian boundary. Although the general pattern of disparity broadly matches that of taxonomic diversity, the initial increase of morphological disparity preceded the first taxonomic radiation by 500 million years. Morphological</w:t>
      </w:r>
    </w:p>
    <w:p w:rsidR="00C06CB8" w:rsidRPr="00C06CB8" w:rsidRDefault="00C06CB8" w:rsidP="00C06CB8">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C06CB8">
        <w:rPr>
          <w:rFonts w:ascii="Times New Roman" w:eastAsia="Times New Roman" w:hAnsi="Times New Roman" w:cs="Times New Roman"/>
          <w:b/>
          <w:bCs/>
          <w:sz w:val="36"/>
          <w:szCs w:val="36"/>
          <w:lang w:val="en-US" w:eastAsia="ru-RU"/>
        </w:rPr>
        <w:lastRenderedPageBreak/>
        <w:t>Acknowledgements</w:t>
      </w:r>
    </w:p>
    <w:p w:rsidR="00C06CB8" w:rsidRPr="00C06CB8" w:rsidRDefault="00C06CB8" w:rsidP="00C06CB8">
      <w:pPr>
        <w:spacing w:after="0" w:line="240" w:lineRule="auto"/>
        <w:rPr>
          <w:rFonts w:ascii="Times New Roman" w:eastAsia="Times New Roman" w:hAnsi="Times New Roman" w:cs="Times New Roman"/>
          <w:sz w:val="24"/>
          <w:szCs w:val="24"/>
          <w:lang w:val="en-US" w:eastAsia="ru-RU"/>
        </w:rPr>
      </w:pPr>
      <w:r w:rsidRPr="00C06CB8">
        <w:rPr>
          <w:rFonts w:ascii="Times New Roman" w:eastAsia="Times New Roman" w:hAnsi="Times New Roman" w:cs="Times New Roman"/>
          <w:sz w:val="24"/>
          <w:szCs w:val="24"/>
          <w:lang w:val="en-US" w:eastAsia="ru-RU"/>
        </w:rPr>
        <w:t xml:space="preserve">We gratefully acknowledge helpful suggestions from Nick Butterfield, Kath Grey, Steven Holland, Andy Knoll, Malgorzata </w:t>
      </w:r>
      <w:proofErr w:type="spellStart"/>
      <w:r w:rsidRPr="00C06CB8">
        <w:rPr>
          <w:rFonts w:ascii="Times New Roman" w:eastAsia="Times New Roman" w:hAnsi="Times New Roman" w:cs="Times New Roman"/>
          <w:sz w:val="24"/>
          <w:szCs w:val="24"/>
          <w:lang w:val="en-US" w:eastAsia="ru-RU"/>
        </w:rPr>
        <w:t>Moczydlowska</w:t>
      </w:r>
      <w:proofErr w:type="spellEnd"/>
      <w:r w:rsidRPr="00C06CB8">
        <w:rPr>
          <w:rFonts w:ascii="Times New Roman" w:eastAsia="Times New Roman" w:hAnsi="Times New Roman" w:cs="Times New Roman"/>
          <w:sz w:val="24"/>
          <w:szCs w:val="24"/>
          <w:lang w:val="en-US" w:eastAsia="ru-RU"/>
        </w:rPr>
        <w:t>-Vidal, and Mike Foote. This research was supported by the National Science Foundation and the Petroleum Research Fund (American Chemical Society).</w:t>
      </w:r>
    </w:p>
    <w:p w:rsidR="00CB7B65" w:rsidRPr="00C06CB8" w:rsidRDefault="00CB7B65">
      <w:pPr>
        <w:rPr>
          <w:lang w:val="en-US"/>
        </w:rPr>
      </w:pPr>
    </w:p>
    <w:sectPr w:rsidR="00CB7B65" w:rsidRPr="00C06CB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6CB8"/>
    <w:rsid w:val="00C06CB8"/>
    <w:rsid w:val="00CB7B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D19BC47-0F3A-48B4-ACBC-31A185495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C06CB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C06CB8"/>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06CB8"/>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C06CB8"/>
    <w:rPr>
      <w:rFonts w:ascii="Times New Roman" w:eastAsia="Times New Roman" w:hAnsi="Times New Roman" w:cs="Times New Roman"/>
      <w:b/>
      <w:bCs/>
      <w:sz w:val="36"/>
      <w:szCs w:val="36"/>
      <w:lang w:eastAsia="ru-RU"/>
    </w:rPr>
  </w:style>
  <w:style w:type="character" w:customStyle="1" w:styleId="title-text">
    <w:name w:val="title-text"/>
    <w:basedOn w:val="a0"/>
    <w:rsid w:val="00C06CB8"/>
  </w:style>
  <w:style w:type="character" w:customStyle="1" w:styleId="sr-only">
    <w:name w:val="sr-only"/>
    <w:basedOn w:val="a0"/>
    <w:rsid w:val="00C06CB8"/>
  </w:style>
  <w:style w:type="character" w:customStyle="1" w:styleId="button-link-text">
    <w:name w:val="button-link-text"/>
    <w:basedOn w:val="a0"/>
    <w:rsid w:val="00C06CB8"/>
  </w:style>
  <w:style w:type="character" w:customStyle="1" w:styleId="react-xocs-alternative-link">
    <w:name w:val="react-xocs-alternative-link"/>
    <w:basedOn w:val="a0"/>
    <w:rsid w:val="00C06CB8"/>
  </w:style>
  <w:style w:type="character" w:customStyle="1" w:styleId="given-name">
    <w:name w:val="given-name"/>
    <w:basedOn w:val="a0"/>
    <w:rsid w:val="00C06CB8"/>
  </w:style>
  <w:style w:type="character" w:customStyle="1" w:styleId="text">
    <w:name w:val="text"/>
    <w:basedOn w:val="a0"/>
    <w:rsid w:val="00C06CB8"/>
  </w:style>
  <w:style w:type="character" w:styleId="a3">
    <w:name w:val="Hyperlink"/>
    <w:basedOn w:val="a0"/>
    <w:uiPriority w:val="99"/>
    <w:semiHidden/>
    <w:unhideWhenUsed/>
    <w:rsid w:val="00C06CB8"/>
    <w:rPr>
      <w:color w:val="0000FF"/>
      <w:u w:val="single"/>
    </w:rPr>
  </w:style>
  <w:style w:type="character" w:customStyle="1" w:styleId="anchor-text">
    <w:name w:val="anchor-text"/>
    <w:basedOn w:val="a0"/>
    <w:rsid w:val="00C06CB8"/>
  </w:style>
  <w:style w:type="paragraph" w:customStyle="1" w:styleId="text-s">
    <w:name w:val="text-s"/>
    <w:basedOn w:val="a"/>
    <w:rsid w:val="00C06CB8"/>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59139938">
      <w:bodyDiv w:val="1"/>
      <w:marLeft w:val="0"/>
      <w:marRight w:val="0"/>
      <w:marTop w:val="0"/>
      <w:marBottom w:val="0"/>
      <w:divBdr>
        <w:top w:val="none" w:sz="0" w:space="0" w:color="auto"/>
        <w:left w:val="none" w:sz="0" w:space="0" w:color="auto"/>
        <w:bottom w:val="none" w:sz="0" w:space="0" w:color="auto"/>
        <w:right w:val="none" w:sz="0" w:space="0" w:color="auto"/>
      </w:divBdr>
      <w:divsChild>
        <w:div w:id="644090026">
          <w:marLeft w:val="0"/>
          <w:marRight w:val="0"/>
          <w:marTop w:val="0"/>
          <w:marBottom w:val="0"/>
          <w:divBdr>
            <w:top w:val="none" w:sz="0" w:space="0" w:color="auto"/>
            <w:left w:val="none" w:sz="0" w:space="0" w:color="auto"/>
            <w:bottom w:val="none" w:sz="0" w:space="0" w:color="auto"/>
            <w:right w:val="none" w:sz="0" w:space="0" w:color="auto"/>
          </w:divBdr>
          <w:divsChild>
            <w:div w:id="950161955">
              <w:marLeft w:val="0"/>
              <w:marRight w:val="0"/>
              <w:marTop w:val="0"/>
              <w:marBottom w:val="0"/>
              <w:divBdr>
                <w:top w:val="none" w:sz="0" w:space="0" w:color="auto"/>
                <w:left w:val="none" w:sz="0" w:space="0" w:color="auto"/>
                <w:bottom w:val="none" w:sz="0" w:space="0" w:color="auto"/>
                <w:right w:val="none" w:sz="0" w:space="0" w:color="auto"/>
              </w:divBdr>
              <w:divsChild>
                <w:div w:id="666323371">
                  <w:marLeft w:val="0"/>
                  <w:marRight w:val="0"/>
                  <w:marTop w:val="0"/>
                  <w:marBottom w:val="0"/>
                  <w:divBdr>
                    <w:top w:val="none" w:sz="0" w:space="0" w:color="auto"/>
                    <w:left w:val="none" w:sz="0" w:space="0" w:color="auto"/>
                    <w:bottom w:val="none" w:sz="0" w:space="0" w:color="auto"/>
                    <w:right w:val="none" w:sz="0" w:space="0" w:color="auto"/>
                  </w:divBdr>
                  <w:divsChild>
                    <w:div w:id="1362828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9751324">
          <w:marLeft w:val="0"/>
          <w:marRight w:val="0"/>
          <w:marTop w:val="0"/>
          <w:marBottom w:val="0"/>
          <w:divBdr>
            <w:top w:val="none" w:sz="0" w:space="0" w:color="auto"/>
            <w:left w:val="none" w:sz="0" w:space="0" w:color="auto"/>
            <w:bottom w:val="none" w:sz="0" w:space="0" w:color="auto"/>
            <w:right w:val="none" w:sz="0" w:space="0" w:color="auto"/>
          </w:divBdr>
          <w:divsChild>
            <w:div w:id="1136603684">
              <w:marLeft w:val="0"/>
              <w:marRight w:val="0"/>
              <w:marTop w:val="0"/>
              <w:marBottom w:val="0"/>
              <w:divBdr>
                <w:top w:val="none" w:sz="0" w:space="0" w:color="auto"/>
                <w:left w:val="none" w:sz="0" w:space="0" w:color="auto"/>
                <w:bottom w:val="none" w:sz="0" w:space="0" w:color="auto"/>
                <w:right w:val="none" w:sz="0" w:space="0" w:color="auto"/>
              </w:divBdr>
              <w:divsChild>
                <w:div w:id="1631549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667092">
          <w:marLeft w:val="0"/>
          <w:marRight w:val="0"/>
          <w:marTop w:val="0"/>
          <w:marBottom w:val="0"/>
          <w:divBdr>
            <w:top w:val="none" w:sz="0" w:space="0" w:color="auto"/>
            <w:left w:val="none" w:sz="0" w:space="0" w:color="auto"/>
            <w:bottom w:val="none" w:sz="0" w:space="0" w:color="auto"/>
            <w:right w:val="none" w:sz="0" w:space="0" w:color="auto"/>
          </w:divBdr>
          <w:divsChild>
            <w:div w:id="170947755">
              <w:marLeft w:val="0"/>
              <w:marRight w:val="0"/>
              <w:marTop w:val="0"/>
              <w:marBottom w:val="0"/>
              <w:divBdr>
                <w:top w:val="none" w:sz="0" w:space="0" w:color="auto"/>
                <w:left w:val="none" w:sz="0" w:space="0" w:color="auto"/>
                <w:bottom w:val="none" w:sz="0" w:space="0" w:color="auto"/>
                <w:right w:val="none" w:sz="0" w:space="0" w:color="auto"/>
              </w:divBdr>
              <w:divsChild>
                <w:div w:id="1410076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3314650">
          <w:marLeft w:val="0"/>
          <w:marRight w:val="0"/>
          <w:marTop w:val="0"/>
          <w:marBottom w:val="0"/>
          <w:divBdr>
            <w:top w:val="none" w:sz="0" w:space="0" w:color="auto"/>
            <w:left w:val="none" w:sz="0" w:space="0" w:color="auto"/>
            <w:bottom w:val="none" w:sz="0" w:space="0" w:color="auto"/>
            <w:right w:val="none" w:sz="0" w:space="0" w:color="auto"/>
          </w:divBdr>
          <w:divsChild>
            <w:div w:id="1212839470">
              <w:marLeft w:val="0"/>
              <w:marRight w:val="0"/>
              <w:marTop w:val="0"/>
              <w:marBottom w:val="0"/>
              <w:divBdr>
                <w:top w:val="none" w:sz="0" w:space="0" w:color="auto"/>
                <w:left w:val="none" w:sz="0" w:space="0" w:color="auto"/>
                <w:bottom w:val="none" w:sz="0" w:space="0" w:color="auto"/>
                <w:right w:val="none" w:sz="0" w:space="0" w:color="auto"/>
              </w:divBdr>
              <w:divsChild>
                <w:div w:id="374081235">
                  <w:marLeft w:val="0"/>
                  <w:marRight w:val="0"/>
                  <w:marTop w:val="0"/>
                  <w:marBottom w:val="0"/>
                  <w:divBdr>
                    <w:top w:val="none" w:sz="0" w:space="0" w:color="auto"/>
                    <w:left w:val="none" w:sz="0" w:space="0" w:color="auto"/>
                    <w:bottom w:val="none" w:sz="0" w:space="0" w:color="auto"/>
                    <w:right w:val="none" w:sz="0" w:space="0" w:color="auto"/>
                  </w:divBdr>
                  <w:divsChild>
                    <w:div w:id="1058747209">
                      <w:marLeft w:val="0"/>
                      <w:marRight w:val="0"/>
                      <w:marTop w:val="0"/>
                      <w:marBottom w:val="0"/>
                      <w:divBdr>
                        <w:top w:val="none" w:sz="0" w:space="0" w:color="auto"/>
                        <w:left w:val="none" w:sz="0" w:space="0" w:color="auto"/>
                        <w:bottom w:val="none" w:sz="0" w:space="0" w:color="auto"/>
                        <w:right w:val="none" w:sz="0" w:space="0" w:color="auto"/>
                      </w:divBdr>
                      <w:divsChild>
                        <w:div w:id="838929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2199996">
          <w:marLeft w:val="0"/>
          <w:marRight w:val="0"/>
          <w:marTop w:val="0"/>
          <w:marBottom w:val="0"/>
          <w:divBdr>
            <w:top w:val="none" w:sz="0" w:space="0" w:color="auto"/>
            <w:left w:val="none" w:sz="0" w:space="0" w:color="auto"/>
            <w:bottom w:val="none" w:sz="0" w:space="0" w:color="auto"/>
            <w:right w:val="none" w:sz="0" w:space="0" w:color="auto"/>
          </w:divBdr>
        </w:div>
        <w:div w:id="2116704232">
          <w:marLeft w:val="0"/>
          <w:marRight w:val="0"/>
          <w:marTop w:val="0"/>
          <w:marBottom w:val="0"/>
          <w:divBdr>
            <w:top w:val="none" w:sz="0" w:space="0" w:color="auto"/>
            <w:left w:val="none" w:sz="0" w:space="0" w:color="auto"/>
            <w:bottom w:val="none" w:sz="0" w:space="0" w:color="auto"/>
            <w:right w:val="none" w:sz="0" w:space="0" w:color="auto"/>
          </w:divBdr>
          <w:divsChild>
            <w:div w:id="360404361">
              <w:marLeft w:val="0"/>
              <w:marRight w:val="0"/>
              <w:marTop w:val="0"/>
              <w:marBottom w:val="0"/>
              <w:divBdr>
                <w:top w:val="none" w:sz="0" w:space="0" w:color="auto"/>
                <w:left w:val="none" w:sz="0" w:space="0" w:color="auto"/>
                <w:bottom w:val="none" w:sz="0" w:space="0" w:color="auto"/>
                <w:right w:val="none" w:sz="0" w:space="0" w:color="auto"/>
              </w:divBdr>
              <w:divsChild>
                <w:div w:id="557278155">
                  <w:marLeft w:val="0"/>
                  <w:marRight w:val="0"/>
                  <w:marTop w:val="0"/>
                  <w:marBottom w:val="0"/>
                  <w:divBdr>
                    <w:top w:val="none" w:sz="0" w:space="0" w:color="auto"/>
                    <w:left w:val="none" w:sz="0" w:space="0" w:color="auto"/>
                    <w:bottom w:val="none" w:sz="0" w:space="0" w:color="auto"/>
                    <w:right w:val="none" w:sz="0" w:space="0" w:color="auto"/>
                  </w:divBdr>
                  <w:divsChild>
                    <w:div w:id="474494814">
                      <w:marLeft w:val="0"/>
                      <w:marRight w:val="0"/>
                      <w:marTop w:val="0"/>
                      <w:marBottom w:val="0"/>
                      <w:divBdr>
                        <w:top w:val="none" w:sz="0" w:space="0" w:color="auto"/>
                        <w:left w:val="none" w:sz="0" w:space="0" w:color="auto"/>
                        <w:bottom w:val="none" w:sz="0" w:space="0" w:color="auto"/>
                        <w:right w:val="none" w:sz="0" w:space="0" w:color="auto"/>
                      </w:divBdr>
                      <w:divsChild>
                        <w:div w:id="87387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1032292">
          <w:marLeft w:val="0"/>
          <w:marRight w:val="0"/>
          <w:marTop w:val="0"/>
          <w:marBottom w:val="0"/>
          <w:divBdr>
            <w:top w:val="none" w:sz="0" w:space="0" w:color="auto"/>
            <w:left w:val="none" w:sz="0" w:space="0" w:color="auto"/>
            <w:bottom w:val="none" w:sz="0" w:space="0" w:color="auto"/>
            <w:right w:val="none" w:sz="0" w:space="0" w:color="auto"/>
          </w:divBdr>
          <w:divsChild>
            <w:div w:id="1778522486">
              <w:marLeft w:val="0"/>
              <w:marRight w:val="0"/>
              <w:marTop w:val="0"/>
              <w:marBottom w:val="0"/>
              <w:divBdr>
                <w:top w:val="none" w:sz="0" w:space="0" w:color="auto"/>
                <w:left w:val="none" w:sz="0" w:space="0" w:color="auto"/>
                <w:bottom w:val="none" w:sz="0" w:space="0" w:color="auto"/>
                <w:right w:val="none" w:sz="0" w:space="0" w:color="auto"/>
              </w:divBdr>
              <w:divsChild>
                <w:div w:id="237982856">
                  <w:marLeft w:val="0"/>
                  <w:marRight w:val="0"/>
                  <w:marTop w:val="0"/>
                  <w:marBottom w:val="0"/>
                  <w:divBdr>
                    <w:top w:val="none" w:sz="0" w:space="0" w:color="auto"/>
                    <w:left w:val="none" w:sz="0" w:space="0" w:color="auto"/>
                    <w:bottom w:val="none" w:sz="0" w:space="0" w:color="auto"/>
                    <w:right w:val="none" w:sz="0" w:space="0" w:color="auto"/>
                  </w:divBdr>
                </w:div>
                <w:div w:id="172771336">
                  <w:marLeft w:val="0"/>
                  <w:marRight w:val="0"/>
                  <w:marTop w:val="0"/>
                  <w:marBottom w:val="0"/>
                  <w:divBdr>
                    <w:top w:val="none" w:sz="0" w:space="0" w:color="auto"/>
                    <w:left w:val="none" w:sz="0" w:space="0" w:color="auto"/>
                    <w:bottom w:val="none" w:sz="0" w:space="0" w:color="auto"/>
                    <w:right w:val="none" w:sz="0" w:space="0" w:color="auto"/>
                  </w:divBdr>
                </w:div>
                <w:div w:id="2017077831">
                  <w:marLeft w:val="0"/>
                  <w:marRight w:val="0"/>
                  <w:marTop w:val="0"/>
                  <w:marBottom w:val="0"/>
                  <w:divBdr>
                    <w:top w:val="none" w:sz="0" w:space="0" w:color="auto"/>
                    <w:left w:val="none" w:sz="0" w:space="0" w:color="auto"/>
                    <w:bottom w:val="none" w:sz="0" w:space="0" w:color="auto"/>
                    <w:right w:val="none" w:sz="0" w:space="0" w:color="auto"/>
                  </w:divBdr>
                </w:div>
                <w:div w:id="1777554978">
                  <w:marLeft w:val="0"/>
                  <w:marRight w:val="0"/>
                  <w:marTop w:val="0"/>
                  <w:marBottom w:val="0"/>
                  <w:divBdr>
                    <w:top w:val="none" w:sz="0" w:space="0" w:color="auto"/>
                    <w:left w:val="none" w:sz="0" w:space="0" w:color="auto"/>
                    <w:bottom w:val="none" w:sz="0" w:space="0" w:color="auto"/>
                    <w:right w:val="none" w:sz="0" w:space="0" w:color="auto"/>
                  </w:divBdr>
                </w:div>
                <w:div w:id="2031637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8929865">
          <w:marLeft w:val="0"/>
          <w:marRight w:val="0"/>
          <w:marTop w:val="0"/>
          <w:marBottom w:val="0"/>
          <w:divBdr>
            <w:top w:val="none" w:sz="0" w:space="0" w:color="auto"/>
            <w:left w:val="none" w:sz="0" w:space="0" w:color="auto"/>
            <w:bottom w:val="none" w:sz="0" w:space="0" w:color="auto"/>
            <w:right w:val="none" w:sz="0" w:space="0" w:color="auto"/>
          </w:divBdr>
        </w:div>
        <w:div w:id="939873756">
          <w:marLeft w:val="0"/>
          <w:marRight w:val="0"/>
          <w:marTop w:val="0"/>
          <w:marBottom w:val="0"/>
          <w:divBdr>
            <w:top w:val="none" w:sz="0" w:space="0" w:color="auto"/>
            <w:left w:val="none" w:sz="0" w:space="0" w:color="auto"/>
            <w:bottom w:val="none" w:sz="0" w:space="0" w:color="auto"/>
            <w:right w:val="none" w:sz="0" w:space="0" w:color="auto"/>
          </w:divBdr>
          <w:divsChild>
            <w:div w:id="1747724742">
              <w:marLeft w:val="0"/>
              <w:marRight w:val="0"/>
              <w:marTop w:val="0"/>
              <w:marBottom w:val="0"/>
              <w:divBdr>
                <w:top w:val="none" w:sz="0" w:space="0" w:color="auto"/>
                <w:left w:val="none" w:sz="0" w:space="0" w:color="auto"/>
                <w:bottom w:val="none" w:sz="0" w:space="0" w:color="auto"/>
                <w:right w:val="none" w:sz="0" w:space="0" w:color="auto"/>
              </w:divBdr>
              <w:divsChild>
                <w:div w:id="127209379">
                  <w:marLeft w:val="0"/>
                  <w:marRight w:val="0"/>
                  <w:marTop w:val="0"/>
                  <w:marBottom w:val="0"/>
                  <w:divBdr>
                    <w:top w:val="none" w:sz="0" w:space="0" w:color="auto"/>
                    <w:left w:val="none" w:sz="0" w:space="0" w:color="auto"/>
                    <w:bottom w:val="none" w:sz="0" w:space="0" w:color="auto"/>
                    <w:right w:val="none" w:sz="0" w:space="0" w:color="auto"/>
                  </w:divBdr>
                </w:div>
                <w:div w:id="2142186804">
                  <w:marLeft w:val="0"/>
                  <w:marRight w:val="0"/>
                  <w:marTop w:val="0"/>
                  <w:marBottom w:val="0"/>
                  <w:divBdr>
                    <w:top w:val="none" w:sz="0" w:space="0" w:color="auto"/>
                    <w:left w:val="none" w:sz="0" w:space="0" w:color="auto"/>
                    <w:bottom w:val="none" w:sz="0" w:space="0" w:color="auto"/>
                    <w:right w:val="none" w:sz="0" w:space="0" w:color="auto"/>
                  </w:divBdr>
                </w:div>
                <w:div w:id="1121343769">
                  <w:marLeft w:val="0"/>
                  <w:marRight w:val="0"/>
                  <w:marTop w:val="0"/>
                  <w:marBottom w:val="0"/>
                  <w:divBdr>
                    <w:top w:val="none" w:sz="0" w:space="0" w:color="auto"/>
                    <w:left w:val="none" w:sz="0" w:space="0" w:color="auto"/>
                    <w:bottom w:val="none" w:sz="0" w:space="0" w:color="auto"/>
                    <w:right w:val="none" w:sz="0" w:space="0" w:color="auto"/>
                  </w:divBdr>
                </w:div>
                <w:div w:id="811488160">
                  <w:marLeft w:val="0"/>
                  <w:marRight w:val="0"/>
                  <w:marTop w:val="0"/>
                  <w:marBottom w:val="0"/>
                  <w:divBdr>
                    <w:top w:val="none" w:sz="0" w:space="0" w:color="auto"/>
                    <w:left w:val="none" w:sz="0" w:space="0" w:color="auto"/>
                    <w:bottom w:val="none" w:sz="0" w:space="0" w:color="auto"/>
                    <w:right w:val="none" w:sz="0" w:space="0" w:color="auto"/>
                  </w:divBdr>
                </w:div>
                <w:div w:id="1125124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ediacaran" TargetMode="External"/><Relationship Id="rId3" Type="http://schemas.openxmlformats.org/officeDocument/2006/relationships/webSettings" Target="webSettings.xml"/><Relationship Id="rId7" Type="http://schemas.openxmlformats.org/officeDocument/2006/relationships/hyperlink" Target="https://www.sciencedirect.com/topics/agricultural-and-biological-sciences/morphospac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agricultural-and-biological-sciences/protist" TargetMode="External"/><Relationship Id="rId11" Type="http://schemas.openxmlformats.org/officeDocument/2006/relationships/theme" Target="theme/theme1.xml"/><Relationship Id="rId5" Type="http://schemas.openxmlformats.org/officeDocument/2006/relationships/hyperlink" Target="https://www.sciencedirect.com/topics/earth-and-planetary-sciences/microfossil" TargetMode="External"/><Relationship Id="rId10" Type="http://schemas.openxmlformats.org/officeDocument/2006/relationships/fontTable" Target="fontTable.xml"/><Relationship Id="rId4" Type="http://schemas.openxmlformats.org/officeDocument/2006/relationships/hyperlink" Target="https://www.sciencedirect.com/topics/earth-and-planetary-sciences/acritarch" TargetMode="External"/><Relationship Id="rId9" Type="http://schemas.openxmlformats.org/officeDocument/2006/relationships/hyperlink" Target="https://www.sciencedirect.com/topics/earth-and-planetary-sciences/phanerozoi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1174</Words>
  <Characters>6692</Characters>
  <Application>Microsoft Office Word</Application>
  <DocSecurity>0</DocSecurity>
  <Lines>55</Lines>
  <Paragraphs>15</Paragraphs>
  <ScaleCrop>false</ScaleCrop>
  <Company/>
  <LinksUpToDate>false</LinksUpToDate>
  <CharactersWithSpaces>7851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Patuk</dc:creator>
  <cp:keywords/>
  <dc:description/>
  <cp:lastModifiedBy>Mike Patuk</cp:lastModifiedBy>
  <cp:revision>1</cp:revision>
  <dcterms:created xsi:type="dcterms:W3CDTF">2025-04-12T00:26:00Z</dcterms:created>
  <dcterms:modified xsi:type="dcterms:W3CDTF">2025-04-12T00:27:00Z</dcterms:modified>
</cp:coreProperties>
</file>